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pPr w:leftFromText="180" w:rightFromText="180" w:vertAnchor="page" w:horzAnchor="margin" w:tblpY="2236"/>
        <w:tblW w:w="14569" w:type="dxa"/>
        <w:tblLook w:val="04A0" w:firstRow="1" w:lastRow="0" w:firstColumn="1" w:lastColumn="0" w:noHBand="0" w:noVBand="1"/>
      </w:tblPr>
      <w:tblGrid>
        <w:gridCol w:w="8315"/>
        <w:gridCol w:w="1794"/>
        <w:gridCol w:w="66"/>
        <w:gridCol w:w="4328"/>
        <w:gridCol w:w="66"/>
      </w:tblGrid>
      <w:tr w:rsidR="00A80986" w:rsidRPr="00B67ACC" w14:paraId="08C229B6" w14:textId="4ED72447" w:rsidTr="00663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5" w:type="dxa"/>
            <w:shd w:val="clear" w:color="auto" w:fill="7C0E2D"/>
          </w:tcPr>
          <w:p w14:paraId="29890644" w14:textId="7687AB9F" w:rsidR="00B02841" w:rsidRPr="00A80986" w:rsidRDefault="00663EAE" w:rsidP="00663EAE">
            <w:pPr>
              <w:rPr>
                <w:b w:val="0"/>
                <w:bCs w:val="0"/>
                <w:color w:val="990033"/>
                <w:sz w:val="36"/>
                <w:szCs w:val="36"/>
                <w:lang w:val="en-US"/>
              </w:rPr>
            </w:pPr>
            <w:r>
              <w:rPr>
                <w:b w:val="0"/>
                <w:bCs w:val="0"/>
                <w:noProof/>
                <w:color w:val="B50730"/>
                <w:u w:val="single"/>
                <w:lang w:val="en-US"/>
              </w:rPr>
              <w:drawing>
                <wp:anchor distT="0" distB="0" distL="114300" distR="114300" simplePos="0" relativeHeight="251658240" behindDoc="0" locked="0" layoutInCell="1" allowOverlap="1" wp14:anchorId="2718C1BC" wp14:editId="151BED43">
                  <wp:simplePos x="0" y="0"/>
                  <wp:positionH relativeFrom="margin">
                    <wp:posOffset>2966720</wp:posOffset>
                  </wp:positionH>
                  <wp:positionV relativeFrom="paragraph">
                    <wp:posOffset>-1202055</wp:posOffset>
                  </wp:positionV>
                  <wp:extent cx="3152775" cy="971443"/>
                  <wp:effectExtent l="0" t="0" r="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52775" cy="971443"/>
                          </a:xfrm>
                          <a:prstGeom prst="rect">
                            <a:avLst/>
                          </a:prstGeom>
                        </pic:spPr>
                      </pic:pic>
                    </a:graphicData>
                  </a:graphic>
                  <wp14:sizeRelH relativeFrom="page">
                    <wp14:pctWidth>0</wp14:pctWidth>
                  </wp14:sizeRelH>
                  <wp14:sizeRelV relativeFrom="page">
                    <wp14:pctHeight>0</wp14:pctHeight>
                  </wp14:sizeRelV>
                </wp:anchor>
              </w:drawing>
            </w:r>
            <w:r w:rsidR="005A3F6E" w:rsidRPr="005A3F6E">
              <w:rPr>
                <w:color w:val="0F243E" w:themeColor="text2" w:themeShade="80"/>
                <w:sz w:val="36"/>
                <w:szCs w:val="36"/>
                <w:lang w:val="en-US"/>
              </w:rPr>
              <w:t xml:space="preserve">                   </w:t>
            </w:r>
            <w:r w:rsidR="00B02841" w:rsidRPr="005A3F6E">
              <w:rPr>
                <w:sz w:val="36"/>
                <w:szCs w:val="36"/>
                <w:lang w:val="en-US"/>
              </w:rPr>
              <w:t xml:space="preserve">2021 YEAR END TAX PLANNING </w:t>
            </w:r>
          </w:p>
        </w:tc>
        <w:tc>
          <w:tcPr>
            <w:tcW w:w="1860" w:type="dxa"/>
            <w:gridSpan w:val="2"/>
            <w:shd w:val="clear" w:color="auto" w:fill="7C0E2D"/>
          </w:tcPr>
          <w:p w14:paraId="682713EA" w14:textId="21201A6C" w:rsidR="00B02841" w:rsidRPr="005A3F6E" w:rsidRDefault="005A3F6E" w:rsidP="00663EAE">
            <w:pPr>
              <w:cnfStyle w:val="100000000000" w:firstRow="1" w:lastRow="0" w:firstColumn="0" w:lastColumn="0" w:oddVBand="0" w:evenVBand="0" w:oddHBand="0" w:evenHBand="0" w:firstRowFirstColumn="0" w:firstRowLastColumn="0" w:lastRowFirstColumn="0" w:lastRowLastColumn="0"/>
              <w:rPr>
                <w:b w:val="0"/>
                <w:bCs w:val="0"/>
                <w:color w:val="0F243E" w:themeColor="text2" w:themeShade="80"/>
                <w:sz w:val="36"/>
                <w:szCs w:val="36"/>
                <w:lang w:val="en-US"/>
              </w:rPr>
            </w:pPr>
            <w:r w:rsidRPr="005A3F6E">
              <w:rPr>
                <w:sz w:val="36"/>
                <w:szCs w:val="36"/>
                <w:lang w:val="en-US"/>
              </w:rPr>
              <w:t>Discussed</w:t>
            </w:r>
          </w:p>
        </w:tc>
        <w:tc>
          <w:tcPr>
            <w:tcW w:w="4394" w:type="dxa"/>
            <w:gridSpan w:val="2"/>
            <w:shd w:val="clear" w:color="auto" w:fill="7C0E2D"/>
          </w:tcPr>
          <w:p w14:paraId="7A75CFC3" w14:textId="3C537121" w:rsidR="00B02841" w:rsidRPr="00A80986" w:rsidRDefault="005A3F6E" w:rsidP="00663EAE">
            <w:pPr>
              <w:cnfStyle w:val="100000000000" w:firstRow="1" w:lastRow="0" w:firstColumn="0" w:lastColumn="0" w:oddVBand="0" w:evenVBand="0" w:oddHBand="0" w:evenHBand="0" w:firstRowFirstColumn="0" w:firstRowLastColumn="0" w:lastRowFirstColumn="0" w:lastRowLastColumn="0"/>
              <w:rPr>
                <w:b w:val="0"/>
                <w:bCs w:val="0"/>
                <w:color w:val="0F243E" w:themeColor="text2" w:themeShade="80"/>
                <w:sz w:val="36"/>
                <w:szCs w:val="36"/>
                <w:lang w:val="en-US"/>
              </w:rPr>
            </w:pPr>
            <w:r w:rsidRPr="00A80986">
              <w:rPr>
                <w:color w:val="0F243E" w:themeColor="text2" w:themeShade="80"/>
                <w:sz w:val="36"/>
                <w:szCs w:val="36"/>
                <w:lang w:val="en-US"/>
              </w:rPr>
              <w:t xml:space="preserve">                    </w:t>
            </w:r>
            <w:r w:rsidR="00B02841" w:rsidRPr="00A80986">
              <w:rPr>
                <w:sz w:val="36"/>
                <w:szCs w:val="36"/>
                <w:lang w:val="en-US"/>
              </w:rPr>
              <w:t>Action Plan</w:t>
            </w:r>
          </w:p>
          <w:p w14:paraId="2E97947B" w14:textId="3824E519" w:rsidR="005A3F6E" w:rsidRPr="005A3F6E" w:rsidRDefault="005A3F6E" w:rsidP="00663EAE">
            <w:pPr>
              <w:cnfStyle w:val="100000000000" w:firstRow="1" w:lastRow="0" w:firstColumn="0" w:lastColumn="0" w:oddVBand="0" w:evenVBand="0" w:oddHBand="0" w:evenHBand="0" w:firstRowFirstColumn="0" w:firstRowLastColumn="0" w:lastRowFirstColumn="0" w:lastRowLastColumn="0"/>
              <w:rPr>
                <w:b w:val="0"/>
                <w:bCs w:val="0"/>
                <w:color w:val="0F243E" w:themeColor="text2" w:themeShade="80"/>
                <w:sz w:val="28"/>
                <w:szCs w:val="28"/>
                <w:lang w:val="en-US"/>
              </w:rPr>
            </w:pPr>
          </w:p>
        </w:tc>
      </w:tr>
      <w:tr w:rsidR="00A80986" w:rsidRPr="00B67ACC" w14:paraId="3650AAA9" w14:textId="0828009D" w:rsidTr="00663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5" w:type="dxa"/>
          </w:tcPr>
          <w:p w14:paraId="1BC6D7C7" w14:textId="77777777" w:rsidR="00B02841" w:rsidRPr="00B67ACC" w:rsidRDefault="00B02841" w:rsidP="00663EAE">
            <w:pPr>
              <w:rPr>
                <w:b w:val="0"/>
                <w:bCs w:val="0"/>
                <w:sz w:val="28"/>
                <w:szCs w:val="28"/>
                <w:lang w:val="en-US"/>
              </w:rPr>
            </w:pPr>
          </w:p>
        </w:tc>
        <w:tc>
          <w:tcPr>
            <w:tcW w:w="1860" w:type="dxa"/>
            <w:gridSpan w:val="2"/>
          </w:tcPr>
          <w:p w14:paraId="6978904A" w14:textId="37C817CA" w:rsidR="00B02841" w:rsidRPr="00B67ACC" w:rsidRDefault="00B02841" w:rsidP="00663EAE">
            <w:pPr>
              <w:cnfStyle w:val="000000100000" w:firstRow="0" w:lastRow="0" w:firstColumn="0" w:lastColumn="0" w:oddVBand="0" w:evenVBand="0" w:oddHBand="1" w:evenHBand="0" w:firstRowFirstColumn="0" w:firstRowLastColumn="0" w:lastRowFirstColumn="0" w:lastRowLastColumn="0"/>
              <w:rPr>
                <w:b/>
                <w:bCs/>
                <w:sz w:val="28"/>
                <w:szCs w:val="28"/>
                <w:lang w:val="en-US"/>
              </w:rPr>
            </w:pPr>
          </w:p>
        </w:tc>
        <w:tc>
          <w:tcPr>
            <w:tcW w:w="4394" w:type="dxa"/>
            <w:gridSpan w:val="2"/>
          </w:tcPr>
          <w:p w14:paraId="01AC36EB" w14:textId="77777777" w:rsidR="00B02841" w:rsidRPr="00B67ACC" w:rsidRDefault="00B02841" w:rsidP="00663EAE">
            <w:pPr>
              <w:cnfStyle w:val="000000100000" w:firstRow="0" w:lastRow="0" w:firstColumn="0" w:lastColumn="0" w:oddVBand="0" w:evenVBand="0" w:oddHBand="1" w:evenHBand="0" w:firstRowFirstColumn="0" w:firstRowLastColumn="0" w:lastRowFirstColumn="0" w:lastRowLastColumn="0"/>
              <w:rPr>
                <w:b/>
                <w:bCs/>
                <w:sz w:val="28"/>
                <w:szCs w:val="28"/>
                <w:lang w:val="en-US"/>
              </w:rPr>
            </w:pPr>
          </w:p>
        </w:tc>
      </w:tr>
      <w:tr w:rsidR="00B02841" w:rsidRPr="00B67ACC" w14:paraId="2A1DD21E" w14:textId="46C38B78" w:rsidTr="00663EAE">
        <w:trPr>
          <w:gridAfter w:val="1"/>
          <w:wAfter w:w="66" w:type="dxa"/>
        </w:trPr>
        <w:tc>
          <w:tcPr>
            <w:cnfStyle w:val="001000000000" w:firstRow="0" w:lastRow="0" w:firstColumn="1" w:lastColumn="0" w:oddVBand="0" w:evenVBand="0" w:oddHBand="0" w:evenHBand="0" w:firstRowFirstColumn="0" w:firstRowLastColumn="0" w:lastRowFirstColumn="0" w:lastRowLastColumn="0"/>
            <w:tcW w:w="8315" w:type="dxa"/>
          </w:tcPr>
          <w:p w14:paraId="484D1593" w14:textId="489288E1" w:rsidR="00CA3877" w:rsidRPr="00CA3877" w:rsidRDefault="00CA3877" w:rsidP="00663EAE">
            <w:pPr>
              <w:pStyle w:val="Heading3"/>
              <w:outlineLvl w:val="2"/>
              <w:rPr>
                <w:rFonts w:asciiTheme="minorHAnsi" w:hAnsiTheme="minorHAnsi" w:cstheme="minorHAnsi"/>
                <w:b w:val="0"/>
                <w:bCs w:val="0"/>
                <w:color w:val="auto"/>
                <w:sz w:val="22"/>
                <w:szCs w:val="22"/>
              </w:rPr>
            </w:pPr>
            <w:r w:rsidRPr="00CA3877">
              <w:rPr>
                <w:rFonts w:asciiTheme="minorHAnsi" w:hAnsiTheme="minorHAnsi" w:cstheme="minorHAnsi"/>
                <w:color w:val="auto"/>
                <w:sz w:val="22"/>
                <w:szCs w:val="22"/>
              </w:rPr>
              <w:t>What can you expect from a tax planning session?</w:t>
            </w:r>
          </w:p>
          <w:p w14:paraId="4A2294A8" w14:textId="6B69E533" w:rsidR="00CA3877" w:rsidRPr="00CA3877" w:rsidRDefault="00CA3877" w:rsidP="00663EAE">
            <w:pPr>
              <w:pStyle w:val="NormalWeb"/>
              <w:rPr>
                <w:rFonts w:asciiTheme="minorHAnsi" w:hAnsiTheme="minorHAnsi" w:cstheme="minorHAnsi"/>
                <w:sz w:val="22"/>
                <w:szCs w:val="22"/>
              </w:rPr>
            </w:pPr>
            <w:r w:rsidRPr="00CA3877">
              <w:rPr>
                <w:rFonts w:asciiTheme="minorHAnsi" w:hAnsiTheme="minorHAnsi" w:cstheme="minorHAnsi"/>
                <w:sz w:val="22"/>
                <w:szCs w:val="22"/>
              </w:rPr>
              <w:t xml:space="preserve">We estimate </w:t>
            </w:r>
            <w:proofErr w:type="gramStart"/>
            <w:r w:rsidRPr="00CA3877">
              <w:rPr>
                <w:rFonts w:asciiTheme="minorHAnsi" w:hAnsiTheme="minorHAnsi" w:cstheme="minorHAnsi"/>
                <w:sz w:val="22"/>
                <w:szCs w:val="22"/>
              </w:rPr>
              <w:t xml:space="preserve">your </w:t>
            </w:r>
            <w:r w:rsidR="000E1213">
              <w:rPr>
                <w:rFonts w:asciiTheme="minorHAnsi" w:hAnsiTheme="minorHAnsi" w:cstheme="minorHAnsi"/>
                <w:sz w:val="22"/>
                <w:szCs w:val="22"/>
              </w:rPr>
              <w:t xml:space="preserve"> </w:t>
            </w:r>
            <w:r w:rsidRPr="00CA3877">
              <w:rPr>
                <w:rFonts w:asciiTheme="minorHAnsi" w:hAnsiTheme="minorHAnsi" w:cstheme="minorHAnsi"/>
                <w:sz w:val="22"/>
                <w:szCs w:val="22"/>
              </w:rPr>
              <w:t>2020</w:t>
            </w:r>
            <w:proofErr w:type="gramEnd"/>
            <w:r w:rsidRPr="00CA3877">
              <w:rPr>
                <w:rFonts w:asciiTheme="minorHAnsi" w:hAnsiTheme="minorHAnsi" w:cstheme="minorHAnsi"/>
                <w:sz w:val="22"/>
                <w:szCs w:val="22"/>
              </w:rPr>
              <w:t>-21 taxable income position and resulting tax liability based on year-to-date figures plus estimates of expected income and expenses. This includes all wages income, interest, dividends, rental income, business profits/losses, and any capital gain or losses you expect to make.</w:t>
            </w:r>
          </w:p>
          <w:p w14:paraId="04CEE12C" w14:textId="7EB3789D" w:rsidR="00CA3877" w:rsidRPr="00CA3877" w:rsidRDefault="00CA3877" w:rsidP="00663EAE">
            <w:pPr>
              <w:pStyle w:val="NormalWeb"/>
              <w:rPr>
                <w:rFonts w:asciiTheme="minorHAnsi" w:hAnsiTheme="minorHAnsi" w:cstheme="minorHAnsi"/>
                <w:sz w:val="22"/>
                <w:szCs w:val="22"/>
              </w:rPr>
            </w:pPr>
            <w:r w:rsidRPr="00CA3877">
              <w:rPr>
                <w:rFonts w:asciiTheme="minorHAnsi" w:hAnsiTheme="minorHAnsi" w:cstheme="minorHAnsi"/>
                <w:sz w:val="22"/>
                <w:szCs w:val="22"/>
              </w:rPr>
              <w:t xml:space="preserve">We discuss </w:t>
            </w:r>
            <w:proofErr w:type="gramStart"/>
            <w:r w:rsidRPr="00CA3877">
              <w:rPr>
                <w:rFonts w:asciiTheme="minorHAnsi" w:hAnsiTheme="minorHAnsi" w:cstheme="minorHAnsi"/>
                <w:sz w:val="22"/>
                <w:szCs w:val="22"/>
              </w:rPr>
              <w:t>all of</w:t>
            </w:r>
            <w:proofErr w:type="gramEnd"/>
            <w:r w:rsidRPr="00CA3877">
              <w:rPr>
                <w:rFonts w:asciiTheme="minorHAnsi" w:hAnsiTheme="minorHAnsi" w:cstheme="minorHAnsi"/>
                <w:sz w:val="22"/>
                <w:szCs w:val="22"/>
              </w:rPr>
              <w:t xml:space="preserve"> your tax options with consideration to both your short and long-term needs. Tax planning discussions typically include:</w:t>
            </w:r>
          </w:p>
          <w:p w14:paraId="0FA0FA14" w14:textId="7E99CD70" w:rsidR="00CA3877" w:rsidRPr="00CA3877" w:rsidRDefault="00020CFD" w:rsidP="00663EAE">
            <w:pPr>
              <w:numPr>
                <w:ilvl w:val="0"/>
                <w:numId w:val="9"/>
              </w:numPr>
              <w:spacing w:before="100" w:beforeAutospacing="1" w:after="100" w:afterAutospacing="1"/>
              <w:rPr>
                <w:rFonts w:asciiTheme="minorHAnsi" w:hAnsiTheme="minorHAnsi" w:cstheme="minorHAnsi"/>
              </w:rPr>
            </w:pPr>
            <w:hyperlink r:id="rId9" w:history="1">
              <w:r w:rsidR="00CA3877" w:rsidRPr="00CA3877">
                <w:rPr>
                  <w:rStyle w:val="Hyperlink"/>
                  <w:rFonts w:asciiTheme="minorHAnsi" w:hAnsiTheme="minorHAnsi" w:cstheme="minorHAnsi"/>
                  <w:color w:val="auto"/>
                </w:rPr>
                <w:t>Maximising superannuation contributions</w:t>
              </w:r>
            </w:hyperlink>
            <w:r w:rsidR="00CA3877" w:rsidRPr="00CA3877">
              <w:rPr>
                <w:rFonts w:asciiTheme="minorHAnsi" w:hAnsiTheme="minorHAnsi" w:cstheme="minorHAnsi"/>
              </w:rPr>
              <w:t xml:space="preserve"> without exceeding the relevant limits</w:t>
            </w:r>
          </w:p>
          <w:p w14:paraId="2DA6815F" w14:textId="77777777" w:rsidR="00CA3877" w:rsidRPr="00CA3877" w:rsidRDefault="00020CFD" w:rsidP="00663EAE">
            <w:pPr>
              <w:numPr>
                <w:ilvl w:val="0"/>
                <w:numId w:val="9"/>
              </w:numPr>
              <w:spacing w:before="100" w:beforeAutospacing="1" w:after="100" w:afterAutospacing="1"/>
              <w:rPr>
                <w:rFonts w:asciiTheme="minorHAnsi" w:hAnsiTheme="minorHAnsi" w:cstheme="minorHAnsi"/>
              </w:rPr>
            </w:pPr>
            <w:hyperlink r:id="rId10" w:history="1">
              <w:r w:rsidR="00CA3877" w:rsidRPr="00CA3877">
                <w:rPr>
                  <w:rStyle w:val="Hyperlink"/>
                  <w:rFonts w:asciiTheme="minorHAnsi" w:hAnsiTheme="minorHAnsi" w:cstheme="minorHAnsi"/>
                  <w:color w:val="auto"/>
                </w:rPr>
                <w:t>Minimising business tax</w:t>
              </w:r>
            </w:hyperlink>
            <w:r w:rsidR="00CA3877" w:rsidRPr="00CA3877">
              <w:rPr>
                <w:rFonts w:asciiTheme="minorHAnsi" w:hAnsiTheme="minorHAnsi" w:cstheme="minorHAnsi"/>
              </w:rPr>
              <w:t xml:space="preserve"> by bringing forward deductibles and deferring income</w:t>
            </w:r>
          </w:p>
          <w:p w14:paraId="67BDE483" w14:textId="77777777" w:rsidR="00CA3877" w:rsidRPr="00CA3877" w:rsidRDefault="00020CFD" w:rsidP="00663EAE">
            <w:pPr>
              <w:numPr>
                <w:ilvl w:val="0"/>
                <w:numId w:val="9"/>
              </w:numPr>
              <w:spacing w:before="100" w:beforeAutospacing="1" w:after="100" w:afterAutospacing="1"/>
              <w:rPr>
                <w:rFonts w:asciiTheme="minorHAnsi" w:hAnsiTheme="minorHAnsi" w:cstheme="minorHAnsi"/>
              </w:rPr>
            </w:pPr>
            <w:hyperlink r:id="rId11" w:history="1">
              <w:r w:rsidR="00CA3877" w:rsidRPr="00CA3877">
                <w:rPr>
                  <w:rStyle w:val="Hyperlink"/>
                  <w:rFonts w:asciiTheme="minorHAnsi" w:hAnsiTheme="minorHAnsi" w:cstheme="minorHAnsi"/>
                  <w:color w:val="auto"/>
                </w:rPr>
                <w:t>Minimising personal tax</w:t>
              </w:r>
            </w:hyperlink>
          </w:p>
          <w:p w14:paraId="7AF46EF8" w14:textId="77777777" w:rsidR="00CA3877" w:rsidRPr="00CA3877" w:rsidRDefault="00CA3877" w:rsidP="00663EAE">
            <w:pPr>
              <w:numPr>
                <w:ilvl w:val="0"/>
                <w:numId w:val="9"/>
              </w:numPr>
              <w:spacing w:before="100" w:beforeAutospacing="1" w:after="100" w:afterAutospacing="1"/>
              <w:rPr>
                <w:rFonts w:asciiTheme="minorHAnsi" w:hAnsiTheme="minorHAnsi" w:cstheme="minorHAnsi"/>
              </w:rPr>
            </w:pPr>
            <w:r w:rsidRPr="00CA3877">
              <w:rPr>
                <w:rFonts w:asciiTheme="minorHAnsi" w:hAnsiTheme="minorHAnsi" w:cstheme="minorHAnsi"/>
              </w:rPr>
              <w:t>A review of your Division 7A loan position (if applicable) and resulting tax consequences</w:t>
            </w:r>
          </w:p>
          <w:p w14:paraId="0E522A31" w14:textId="31150352" w:rsidR="00CA3877" w:rsidRPr="00CA3877" w:rsidRDefault="00CA3877" w:rsidP="00663EAE">
            <w:pPr>
              <w:numPr>
                <w:ilvl w:val="0"/>
                <w:numId w:val="9"/>
              </w:numPr>
              <w:spacing w:before="100" w:beforeAutospacing="1" w:after="100" w:afterAutospacing="1"/>
              <w:rPr>
                <w:rFonts w:asciiTheme="minorHAnsi" w:hAnsiTheme="minorHAnsi" w:cstheme="minorHAnsi"/>
              </w:rPr>
            </w:pPr>
            <w:r w:rsidRPr="00CA3877">
              <w:rPr>
                <w:rFonts w:asciiTheme="minorHAnsi" w:hAnsiTheme="minorHAnsi" w:cstheme="minorHAnsi"/>
              </w:rPr>
              <w:t>Optimising trust distributions and preparing Trust Distribution Resolutions</w:t>
            </w:r>
          </w:p>
          <w:p w14:paraId="0129444A" w14:textId="77777777" w:rsidR="00CA3877" w:rsidRPr="00CA3877" w:rsidRDefault="00CA3877" w:rsidP="00663EAE">
            <w:pPr>
              <w:numPr>
                <w:ilvl w:val="0"/>
                <w:numId w:val="9"/>
              </w:numPr>
              <w:spacing w:before="100" w:beforeAutospacing="1" w:after="100" w:afterAutospacing="1"/>
              <w:rPr>
                <w:rFonts w:asciiTheme="minorHAnsi" w:hAnsiTheme="minorHAnsi" w:cstheme="minorHAnsi"/>
              </w:rPr>
            </w:pPr>
            <w:r w:rsidRPr="00CA3877">
              <w:rPr>
                <w:rFonts w:asciiTheme="minorHAnsi" w:hAnsiTheme="minorHAnsi" w:cstheme="minorHAnsi"/>
              </w:rPr>
              <w:t xml:space="preserve">A review of your SMSF position (if applicable) to determine if any action is required </w:t>
            </w:r>
            <w:proofErr w:type="gramStart"/>
            <w:r w:rsidRPr="00CA3877">
              <w:rPr>
                <w:rFonts w:asciiTheme="minorHAnsi" w:hAnsiTheme="minorHAnsi" w:cstheme="minorHAnsi"/>
              </w:rPr>
              <w:t>as a result of</w:t>
            </w:r>
            <w:proofErr w:type="gramEnd"/>
            <w:r w:rsidRPr="00CA3877">
              <w:rPr>
                <w:rFonts w:asciiTheme="minorHAnsi" w:hAnsiTheme="minorHAnsi" w:cstheme="minorHAnsi"/>
              </w:rPr>
              <w:t xml:space="preserve"> changes to superannuation legislation.</w:t>
            </w:r>
          </w:p>
          <w:p w14:paraId="272D7DFC" w14:textId="77777777" w:rsidR="00CA3877" w:rsidRPr="00CA3877" w:rsidRDefault="00CA3877" w:rsidP="00663EAE">
            <w:pPr>
              <w:numPr>
                <w:ilvl w:val="0"/>
                <w:numId w:val="9"/>
              </w:numPr>
              <w:spacing w:before="100" w:beforeAutospacing="1" w:after="100" w:afterAutospacing="1"/>
              <w:rPr>
                <w:rFonts w:asciiTheme="minorHAnsi" w:hAnsiTheme="minorHAnsi" w:cstheme="minorHAnsi"/>
              </w:rPr>
            </w:pPr>
            <w:r w:rsidRPr="00CA3877">
              <w:rPr>
                <w:rFonts w:asciiTheme="minorHAnsi" w:hAnsiTheme="minorHAnsi" w:cstheme="minorHAnsi"/>
              </w:rPr>
              <w:t>A review of your Capital Gains Tax position (if applicable)</w:t>
            </w:r>
          </w:p>
          <w:p w14:paraId="174701BF" w14:textId="4E84D493" w:rsidR="00CA3877" w:rsidRDefault="00CA3877" w:rsidP="00663EAE">
            <w:pPr>
              <w:numPr>
                <w:ilvl w:val="0"/>
                <w:numId w:val="9"/>
              </w:numPr>
              <w:spacing w:before="100" w:beforeAutospacing="1" w:after="100" w:afterAutospacing="1"/>
              <w:rPr>
                <w:rFonts w:asciiTheme="minorHAnsi" w:hAnsiTheme="minorHAnsi" w:cstheme="minorHAnsi"/>
              </w:rPr>
            </w:pPr>
            <w:r w:rsidRPr="00CA3877">
              <w:rPr>
                <w:rFonts w:asciiTheme="minorHAnsi" w:hAnsiTheme="minorHAnsi" w:cstheme="minorHAnsi"/>
              </w:rPr>
              <w:t>A discussion on the impact on cash flow for business tax liabilities or PAYG instalments and of the strategies put in place.</w:t>
            </w:r>
          </w:p>
          <w:p w14:paraId="355BCB21" w14:textId="7F2273F5" w:rsidR="00CA3877" w:rsidRPr="00CA3877" w:rsidRDefault="00CA3877" w:rsidP="00663EAE">
            <w:pPr>
              <w:pStyle w:val="NormalWeb"/>
              <w:rPr>
                <w:rFonts w:asciiTheme="minorHAnsi" w:hAnsiTheme="minorHAnsi" w:cstheme="minorHAnsi"/>
                <w:sz w:val="22"/>
                <w:szCs w:val="22"/>
              </w:rPr>
            </w:pPr>
            <w:r w:rsidRPr="00CA3877">
              <w:rPr>
                <w:rFonts w:asciiTheme="minorHAnsi" w:hAnsiTheme="minorHAnsi" w:cstheme="minorHAnsi"/>
                <w:sz w:val="22"/>
                <w:szCs w:val="22"/>
              </w:rPr>
              <w:t>We provide you with a Tax Plan that explains the strategies we recommend and exactly how much each strategy will save you in tax.</w:t>
            </w:r>
          </w:p>
          <w:p w14:paraId="4FAFE62B" w14:textId="4BA2B417" w:rsidR="00B02841" w:rsidRPr="00663EAE" w:rsidRDefault="00CA3877" w:rsidP="00663EAE">
            <w:pPr>
              <w:pStyle w:val="NormalWeb"/>
              <w:rPr>
                <w:rFonts w:asciiTheme="minorHAnsi" w:hAnsiTheme="minorHAnsi" w:cstheme="minorHAnsi"/>
                <w:sz w:val="22"/>
                <w:szCs w:val="22"/>
              </w:rPr>
            </w:pPr>
            <w:r w:rsidRPr="00CA3877">
              <w:rPr>
                <w:rFonts w:asciiTheme="minorHAnsi" w:hAnsiTheme="minorHAnsi" w:cstheme="minorHAnsi"/>
                <w:sz w:val="22"/>
                <w:szCs w:val="22"/>
              </w:rPr>
              <w:t>We provide you with an Action Plan to ensure that everything that needs to be actioned is completed before 30 June.</w:t>
            </w:r>
          </w:p>
        </w:tc>
        <w:tc>
          <w:tcPr>
            <w:tcW w:w="1794" w:type="dxa"/>
          </w:tcPr>
          <w:p w14:paraId="4508ED22" w14:textId="77777777" w:rsidR="00B02841" w:rsidRPr="00A80986" w:rsidRDefault="00B02841" w:rsidP="00663EAE">
            <w:pPr>
              <w:cnfStyle w:val="000000000000" w:firstRow="0" w:lastRow="0" w:firstColumn="0" w:lastColumn="0" w:oddVBand="0" w:evenVBand="0" w:oddHBand="0" w:evenHBand="0" w:firstRowFirstColumn="0" w:firstRowLastColumn="0" w:lastRowFirstColumn="0" w:lastRowLastColumn="0"/>
              <w:rPr>
                <w:b/>
                <w:bCs/>
                <w:color w:val="B50730"/>
                <w:u w:val="single"/>
                <w:lang w:val="en-US"/>
              </w:rPr>
            </w:pPr>
          </w:p>
        </w:tc>
        <w:tc>
          <w:tcPr>
            <w:tcW w:w="4394" w:type="dxa"/>
            <w:gridSpan w:val="2"/>
          </w:tcPr>
          <w:p w14:paraId="56CA59FB" w14:textId="08C8DBBC" w:rsidR="00B02841" w:rsidRPr="00A80986" w:rsidRDefault="00B02841" w:rsidP="00663EAE">
            <w:pPr>
              <w:cnfStyle w:val="000000000000" w:firstRow="0" w:lastRow="0" w:firstColumn="0" w:lastColumn="0" w:oddVBand="0" w:evenVBand="0" w:oddHBand="0" w:evenHBand="0" w:firstRowFirstColumn="0" w:firstRowLastColumn="0" w:lastRowFirstColumn="0" w:lastRowLastColumn="0"/>
              <w:rPr>
                <w:b/>
                <w:bCs/>
                <w:color w:val="B50730"/>
                <w:u w:val="single"/>
                <w:lang w:val="en-US"/>
              </w:rPr>
            </w:pPr>
          </w:p>
        </w:tc>
      </w:tr>
    </w:tbl>
    <w:p w14:paraId="02EE13FA" w14:textId="06E767D9" w:rsidR="00CA3877" w:rsidRDefault="00CA3877">
      <w:r>
        <w:br w:type="page"/>
      </w:r>
    </w:p>
    <w:tbl>
      <w:tblPr>
        <w:tblStyle w:val="PlainTable1"/>
        <w:tblW w:w="0" w:type="auto"/>
        <w:tblLook w:val="04A0" w:firstRow="1" w:lastRow="0" w:firstColumn="1" w:lastColumn="0" w:noHBand="0" w:noVBand="1"/>
      </w:tblPr>
      <w:tblGrid>
        <w:gridCol w:w="8526"/>
        <w:gridCol w:w="1356"/>
        <w:gridCol w:w="4508"/>
      </w:tblGrid>
      <w:tr w:rsidR="00B02841" w:rsidRPr="00B67ACC" w14:paraId="46E5DF3D" w14:textId="2BEAC56E" w:rsidTr="00A809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512A236" w14:textId="12312892" w:rsidR="00B02841" w:rsidRPr="00B67ACC" w:rsidRDefault="00B02841" w:rsidP="00A33868">
            <w:pPr>
              <w:rPr>
                <w:b w:val="0"/>
                <w:bCs w:val="0"/>
                <w:u w:val="single"/>
                <w:lang w:val="en-US"/>
              </w:rPr>
            </w:pPr>
            <w:r w:rsidRPr="00B67ACC">
              <w:rPr>
                <w:u w:val="single"/>
                <w:lang w:val="en-US"/>
              </w:rPr>
              <w:lastRenderedPageBreak/>
              <w:t>YEAR-END CONSIDERATIONS</w:t>
            </w:r>
          </w:p>
        </w:tc>
        <w:tc>
          <w:tcPr>
            <w:tcW w:w="1356" w:type="dxa"/>
          </w:tcPr>
          <w:p w14:paraId="3A1E15DA" w14:textId="77777777" w:rsidR="00B02841" w:rsidRPr="00B67ACC" w:rsidRDefault="00B02841" w:rsidP="00A33868">
            <w:pPr>
              <w:cnfStyle w:val="100000000000" w:firstRow="1" w:lastRow="0" w:firstColumn="0" w:lastColumn="0" w:oddVBand="0" w:evenVBand="0" w:oddHBand="0" w:evenHBand="0" w:firstRowFirstColumn="0" w:firstRowLastColumn="0" w:lastRowFirstColumn="0" w:lastRowLastColumn="0"/>
              <w:rPr>
                <w:b w:val="0"/>
                <w:bCs w:val="0"/>
                <w:u w:val="single"/>
                <w:lang w:val="en-US"/>
              </w:rPr>
            </w:pPr>
          </w:p>
        </w:tc>
        <w:tc>
          <w:tcPr>
            <w:tcW w:w="4508" w:type="dxa"/>
          </w:tcPr>
          <w:p w14:paraId="68A4DF3B" w14:textId="77777777" w:rsidR="00B02841" w:rsidRPr="00B67ACC" w:rsidRDefault="00B02841" w:rsidP="00A33868">
            <w:pPr>
              <w:cnfStyle w:val="100000000000" w:firstRow="1" w:lastRow="0" w:firstColumn="0" w:lastColumn="0" w:oddVBand="0" w:evenVBand="0" w:oddHBand="0" w:evenHBand="0" w:firstRowFirstColumn="0" w:firstRowLastColumn="0" w:lastRowFirstColumn="0" w:lastRowLastColumn="0"/>
              <w:rPr>
                <w:b w:val="0"/>
                <w:bCs w:val="0"/>
                <w:u w:val="single"/>
                <w:lang w:val="en-US"/>
              </w:rPr>
            </w:pPr>
          </w:p>
        </w:tc>
      </w:tr>
      <w:tr w:rsidR="00B02841" w:rsidRPr="00B67ACC" w14:paraId="755EDFDF" w14:textId="1814C536"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BB1F708" w14:textId="77777777" w:rsidR="00B02841" w:rsidRPr="00B67ACC" w:rsidRDefault="00B02841" w:rsidP="00A33868">
            <w:pPr>
              <w:rPr>
                <w:lang w:val="en-US"/>
              </w:rPr>
            </w:pPr>
            <w:r w:rsidRPr="00B67ACC">
              <w:rPr>
                <w:lang w:val="en-US"/>
              </w:rPr>
              <w:t>Please find detailed below commentary on the following categories of tax planning issues that you may wish to consider in the lead up to year- end, in particular:</w:t>
            </w:r>
          </w:p>
        </w:tc>
        <w:tc>
          <w:tcPr>
            <w:tcW w:w="1356" w:type="dxa"/>
          </w:tcPr>
          <w:p w14:paraId="3BB1EFC2"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6FDE55DF"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6DCC7593" w14:textId="3F914120" w:rsidTr="00A80986">
        <w:tc>
          <w:tcPr>
            <w:cnfStyle w:val="001000000000" w:firstRow="0" w:lastRow="0" w:firstColumn="1" w:lastColumn="0" w:oddVBand="0" w:evenVBand="0" w:oddHBand="0" w:evenHBand="0" w:firstRowFirstColumn="0" w:firstRowLastColumn="0" w:lastRowFirstColumn="0" w:lastRowLastColumn="0"/>
            <w:tcW w:w="8526" w:type="dxa"/>
          </w:tcPr>
          <w:p w14:paraId="53BF527D" w14:textId="77777777" w:rsidR="00B02841" w:rsidRPr="00B67ACC" w:rsidRDefault="00B02841" w:rsidP="00A33868">
            <w:pPr>
              <w:pStyle w:val="ListParagraph"/>
              <w:numPr>
                <w:ilvl w:val="0"/>
                <w:numId w:val="1"/>
              </w:numPr>
              <w:contextualSpacing/>
              <w:rPr>
                <w:rFonts w:eastAsia="Times New Roman"/>
                <w:lang w:val="en-US"/>
              </w:rPr>
            </w:pPr>
            <w:r w:rsidRPr="00B67ACC">
              <w:rPr>
                <w:rFonts w:eastAsia="Times New Roman"/>
                <w:lang w:val="en-US"/>
              </w:rPr>
              <w:t>Business year-end tax preparation issues</w:t>
            </w:r>
          </w:p>
        </w:tc>
        <w:tc>
          <w:tcPr>
            <w:tcW w:w="1356" w:type="dxa"/>
          </w:tcPr>
          <w:p w14:paraId="4088EC54" w14:textId="77777777" w:rsidR="00B02841" w:rsidRPr="00B67ACC" w:rsidRDefault="00B02841" w:rsidP="00B67ACC">
            <w:pPr>
              <w:pStyle w:val="ListParagraph"/>
              <w:contextualSpacing/>
              <w:cnfStyle w:val="000000000000" w:firstRow="0" w:lastRow="0" w:firstColumn="0" w:lastColumn="0" w:oddVBand="0" w:evenVBand="0" w:oddHBand="0" w:evenHBand="0" w:firstRowFirstColumn="0" w:firstRowLastColumn="0" w:lastRowFirstColumn="0" w:lastRowLastColumn="0"/>
              <w:rPr>
                <w:rFonts w:eastAsia="Times New Roman"/>
                <w:lang w:val="en-US"/>
              </w:rPr>
            </w:pPr>
          </w:p>
        </w:tc>
        <w:tc>
          <w:tcPr>
            <w:tcW w:w="4508" w:type="dxa"/>
          </w:tcPr>
          <w:p w14:paraId="427C3EDE" w14:textId="77777777" w:rsidR="00B02841" w:rsidRPr="00B67ACC" w:rsidRDefault="00B02841" w:rsidP="00B67ACC">
            <w:pPr>
              <w:pStyle w:val="ListParagraph"/>
              <w:contextualSpacing/>
              <w:cnfStyle w:val="000000000000" w:firstRow="0" w:lastRow="0" w:firstColumn="0" w:lastColumn="0" w:oddVBand="0" w:evenVBand="0" w:oddHBand="0" w:evenHBand="0" w:firstRowFirstColumn="0" w:firstRowLastColumn="0" w:lastRowFirstColumn="0" w:lastRowLastColumn="0"/>
              <w:rPr>
                <w:rFonts w:eastAsia="Times New Roman"/>
                <w:lang w:val="en-US"/>
              </w:rPr>
            </w:pPr>
          </w:p>
        </w:tc>
      </w:tr>
      <w:tr w:rsidR="00B02841" w:rsidRPr="00B67ACC" w14:paraId="1C54D98B" w14:textId="3384A71C"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7C78562" w14:textId="77777777" w:rsidR="00B02841" w:rsidRPr="00B67ACC" w:rsidRDefault="00B02841" w:rsidP="00A33868">
            <w:pPr>
              <w:pStyle w:val="ListParagraph"/>
              <w:numPr>
                <w:ilvl w:val="0"/>
                <w:numId w:val="1"/>
              </w:numPr>
              <w:contextualSpacing/>
              <w:rPr>
                <w:rFonts w:eastAsia="Times New Roman"/>
                <w:lang w:val="en-US"/>
              </w:rPr>
            </w:pPr>
            <w:r w:rsidRPr="00B67ACC">
              <w:rPr>
                <w:rFonts w:eastAsia="Times New Roman"/>
                <w:lang w:val="en-US"/>
              </w:rPr>
              <w:t>Individual tax preparation considerations</w:t>
            </w:r>
          </w:p>
        </w:tc>
        <w:tc>
          <w:tcPr>
            <w:tcW w:w="1356" w:type="dxa"/>
          </w:tcPr>
          <w:p w14:paraId="10EEC2A3" w14:textId="77777777" w:rsidR="00B02841" w:rsidRPr="00B67ACC" w:rsidRDefault="00B02841" w:rsidP="00B67ACC">
            <w:pPr>
              <w:pStyle w:val="ListParagraph"/>
              <w:contextualSpacing/>
              <w:cnfStyle w:val="000000100000" w:firstRow="0" w:lastRow="0" w:firstColumn="0" w:lastColumn="0" w:oddVBand="0" w:evenVBand="0" w:oddHBand="1" w:evenHBand="0" w:firstRowFirstColumn="0" w:firstRowLastColumn="0" w:lastRowFirstColumn="0" w:lastRowLastColumn="0"/>
              <w:rPr>
                <w:rFonts w:eastAsia="Times New Roman"/>
                <w:lang w:val="en-US"/>
              </w:rPr>
            </w:pPr>
          </w:p>
        </w:tc>
        <w:tc>
          <w:tcPr>
            <w:tcW w:w="4508" w:type="dxa"/>
          </w:tcPr>
          <w:p w14:paraId="030BBC8F" w14:textId="77777777" w:rsidR="00B02841" w:rsidRPr="00B67ACC" w:rsidRDefault="00B02841" w:rsidP="00B67ACC">
            <w:pPr>
              <w:pStyle w:val="ListParagraph"/>
              <w:contextualSpacing/>
              <w:cnfStyle w:val="000000100000" w:firstRow="0" w:lastRow="0" w:firstColumn="0" w:lastColumn="0" w:oddVBand="0" w:evenVBand="0" w:oddHBand="1" w:evenHBand="0" w:firstRowFirstColumn="0" w:firstRowLastColumn="0" w:lastRowFirstColumn="0" w:lastRowLastColumn="0"/>
              <w:rPr>
                <w:rFonts w:eastAsia="Times New Roman"/>
                <w:lang w:val="en-US"/>
              </w:rPr>
            </w:pPr>
          </w:p>
        </w:tc>
      </w:tr>
      <w:tr w:rsidR="00B02841" w:rsidRPr="00B67ACC" w14:paraId="3DBB85E9" w14:textId="744D7630" w:rsidTr="00A80986">
        <w:tc>
          <w:tcPr>
            <w:cnfStyle w:val="001000000000" w:firstRow="0" w:lastRow="0" w:firstColumn="1" w:lastColumn="0" w:oddVBand="0" w:evenVBand="0" w:oddHBand="0" w:evenHBand="0" w:firstRowFirstColumn="0" w:firstRowLastColumn="0" w:lastRowFirstColumn="0" w:lastRowLastColumn="0"/>
            <w:tcW w:w="8526" w:type="dxa"/>
          </w:tcPr>
          <w:p w14:paraId="7E2A7445" w14:textId="77777777" w:rsidR="00B02841" w:rsidRPr="00B67ACC" w:rsidRDefault="00B02841" w:rsidP="00A33868">
            <w:pPr>
              <w:pStyle w:val="ListParagraph"/>
              <w:numPr>
                <w:ilvl w:val="0"/>
                <w:numId w:val="1"/>
              </w:numPr>
              <w:contextualSpacing/>
              <w:rPr>
                <w:rFonts w:eastAsia="Times New Roman"/>
                <w:lang w:val="en-US"/>
              </w:rPr>
            </w:pPr>
            <w:r w:rsidRPr="00B67ACC">
              <w:rPr>
                <w:rFonts w:eastAsia="Times New Roman"/>
                <w:lang w:val="en-US"/>
              </w:rPr>
              <w:t>Tax and superannuation reforms impacting property ownership.</w:t>
            </w:r>
          </w:p>
        </w:tc>
        <w:tc>
          <w:tcPr>
            <w:tcW w:w="1356" w:type="dxa"/>
          </w:tcPr>
          <w:p w14:paraId="4AAF577B" w14:textId="77777777" w:rsidR="00B02841" w:rsidRPr="00B67ACC" w:rsidRDefault="00B02841" w:rsidP="00B67ACC">
            <w:pPr>
              <w:pStyle w:val="ListParagraph"/>
              <w:contextualSpacing/>
              <w:cnfStyle w:val="000000000000" w:firstRow="0" w:lastRow="0" w:firstColumn="0" w:lastColumn="0" w:oddVBand="0" w:evenVBand="0" w:oddHBand="0" w:evenHBand="0" w:firstRowFirstColumn="0" w:firstRowLastColumn="0" w:lastRowFirstColumn="0" w:lastRowLastColumn="0"/>
              <w:rPr>
                <w:rFonts w:eastAsia="Times New Roman"/>
                <w:lang w:val="en-US"/>
              </w:rPr>
            </w:pPr>
          </w:p>
        </w:tc>
        <w:tc>
          <w:tcPr>
            <w:tcW w:w="4508" w:type="dxa"/>
          </w:tcPr>
          <w:p w14:paraId="5ABC1124" w14:textId="77777777" w:rsidR="00B02841" w:rsidRPr="00B67ACC" w:rsidRDefault="00B02841" w:rsidP="00B67ACC">
            <w:pPr>
              <w:pStyle w:val="ListParagraph"/>
              <w:contextualSpacing/>
              <w:cnfStyle w:val="000000000000" w:firstRow="0" w:lastRow="0" w:firstColumn="0" w:lastColumn="0" w:oddVBand="0" w:evenVBand="0" w:oddHBand="0" w:evenHBand="0" w:firstRowFirstColumn="0" w:firstRowLastColumn="0" w:lastRowFirstColumn="0" w:lastRowLastColumn="0"/>
              <w:rPr>
                <w:rFonts w:eastAsia="Times New Roman"/>
                <w:lang w:val="en-US"/>
              </w:rPr>
            </w:pPr>
          </w:p>
        </w:tc>
      </w:tr>
      <w:tr w:rsidR="00B02841" w:rsidRPr="00B67ACC" w14:paraId="3496E365" w14:textId="7BEA6CAA"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E0D0573" w14:textId="77777777" w:rsidR="00B02841" w:rsidRPr="00B67ACC" w:rsidRDefault="00B02841" w:rsidP="00A33868">
            <w:pPr>
              <w:rPr>
                <w:b w:val="0"/>
                <w:bCs w:val="0"/>
                <w:u w:val="single"/>
                <w:lang w:val="en-US"/>
              </w:rPr>
            </w:pPr>
          </w:p>
        </w:tc>
        <w:tc>
          <w:tcPr>
            <w:tcW w:w="1356" w:type="dxa"/>
          </w:tcPr>
          <w:p w14:paraId="17EF560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u w:val="single"/>
                <w:lang w:val="en-US"/>
              </w:rPr>
            </w:pPr>
          </w:p>
        </w:tc>
        <w:tc>
          <w:tcPr>
            <w:tcW w:w="4508" w:type="dxa"/>
          </w:tcPr>
          <w:p w14:paraId="6B57A6BF"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u w:val="single"/>
                <w:lang w:val="en-US"/>
              </w:rPr>
            </w:pPr>
          </w:p>
        </w:tc>
      </w:tr>
      <w:tr w:rsidR="00B02841" w:rsidRPr="00B67ACC" w14:paraId="28A07BA2" w14:textId="1CA4EA4B" w:rsidTr="00A80986">
        <w:tc>
          <w:tcPr>
            <w:cnfStyle w:val="001000000000" w:firstRow="0" w:lastRow="0" w:firstColumn="1" w:lastColumn="0" w:oddVBand="0" w:evenVBand="0" w:oddHBand="0" w:evenHBand="0" w:firstRowFirstColumn="0" w:firstRowLastColumn="0" w:lastRowFirstColumn="0" w:lastRowLastColumn="0"/>
            <w:tcW w:w="8526" w:type="dxa"/>
          </w:tcPr>
          <w:p w14:paraId="1B9E72A2" w14:textId="77777777" w:rsidR="00B02841" w:rsidRPr="00B67ACC" w:rsidRDefault="00B02841" w:rsidP="00A33868">
            <w:pPr>
              <w:rPr>
                <w:b w:val="0"/>
                <w:bCs w:val="0"/>
                <w:u w:val="single"/>
                <w:lang w:val="en-US"/>
              </w:rPr>
            </w:pPr>
          </w:p>
        </w:tc>
        <w:tc>
          <w:tcPr>
            <w:tcW w:w="1356" w:type="dxa"/>
          </w:tcPr>
          <w:p w14:paraId="4C1B867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u w:val="single"/>
                <w:lang w:val="en-US"/>
              </w:rPr>
            </w:pPr>
          </w:p>
        </w:tc>
        <w:tc>
          <w:tcPr>
            <w:tcW w:w="4508" w:type="dxa"/>
          </w:tcPr>
          <w:p w14:paraId="7DBD114A"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u w:val="single"/>
                <w:lang w:val="en-US"/>
              </w:rPr>
            </w:pPr>
          </w:p>
        </w:tc>
      </w:tr>
      <w:tr w:rsidR="00B02841" w:rsidRPr="00B67ACC" w14:paraId="1C0BFAD3" w14:textId="594D401D"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2FB3B3F8" w14:textId="77777777" w:rsidR="00B02841" w:rsidRPr="00B67ACC" w:rsidRDefault="00B02841" w:rsidP="00A33868">
            <w:pPr>
              <w:pStyle w:val="ListParagraph"/>
              <w:numPr>
                <w:ilvl w:val="0"/>
                <w:numId w:val="2"/>
              </w:numPr>
              <w:contextualSpacing/>
              <w:rPr>
                <w:rFonts w:eastAsia="Times New Roman"/>
                <w:b w:val="0"/>
                <w:bCs w:val="0"/>
                <w:u w:val="single"/>
                <w:lang w:val="en-US"/>
              </w:rPr>
            </w:pPr>
            <w:r w:rsidRPr="00B67ACC">
              <w:rPr>
                <w:rFonts w:eastAsia="Times New Roman"/>
                <w:u w:val="single"/>
                <w:lang w:val="en-US"/>
              </w:rPr>
              <w:t>BUSINESS YEAR-END TAX PREPARATION ISSUES</w:t>
            </w:r>
          </w:p>
        </w:tc>
        <w:tc>
          <w:tcPr>
            <w:tcW w:w="1356" w:type="dxa"/>
          </w:tcPr>
          <w:p w14:paraId="342C14EE" w14:textId="77777777" w:rsidR="00B02841" w:rsidRPr="00B67ACC" w:rsidRDefault="00B02841" w:rsidP="00B67ACC">
            <w:pPr>
              <w:pStyle w:val="ListParagraph"/>
              <w:ind w:left="360"/>
              <w:contextualSpacing/>
              <w:cnfStyle w:val="000000100000" w:firstRow="0" w:lastRow="0" w:firstColumn="0" w:lastColumn="0" w:oddVBand="0" w:evenVBand="0" w:oddHBand="1" w:evenHBand="0" w:firstRowFirstColumn="0" w:firstRowLastColumn="0" w:lastRowFirstColumn="0" w:lastRowLastColumn="0"/>
              <w:rPr>
                <w:rFonts w:eastAsia="Times New Roman"/>
                <w:b/>
                <w:bCs/>
                <w:u w:val="single"/>
                <w:lang w:val="en-US"/>
              </w:rPr>
            </w:pPr>
          </w:p>
        </w:tc>
        <w:tc>
          <w:tcPr>
            <w:tcW w:w="4508" w:type="dxa"/>
          </w:tcPr>
          <w:p w14:paraId="03A178AC" w14:textId="77777777" w:rsidR="00B02841" w:rsidRPr="00B67ACC" w:rsidRDefault="00B02841" w:rsidP="00B67ACC">
            <w:pPr>
              <w:pStyle w:val="ListParagraph"/>
              <w:ind w:left="360"/>
              <w:contextualSpacing/>
              <w:cnfStyle w:val="000000100000" w:firstRow="0" w:lastRow="0" w:firstColumn="0" w:lastColumn="0" w:oddVBand="0" w:evenVBand="0" w:oddHBand="1" w:evenHBand="0" w:firstRowFirstColumn="0" w:firstRowLastColumn="0" w:lastRowFirstColumn="0" w:lastRowLastColumn="0"/>
              <w:rPr>
                <w:rFonts w:eastAsia="Times New Roman"/>
                <w:b/>
                <w:bCs/>
                <w:u w:val="single"/>
                <w:lang w:val="en-US"/>
              </w:rPr>
            </w:pPr>
          </w:p>
        </w:tc>
      </w:tr>
      <w:tr w:rsidR="00B02841" w:rsidRPr="00B67ACC" w14:paraId="7589A708" w14:textId="649F13AE" w:rsidTr="00A80986">
        <w:tc>
          <w:tcPr>
            <w:cnfStyle w:val="001000000000" w:firstRow="0" w:lastRow="0" w:firstColumn="1" w:lastColumn="0" w:oddVBand="0" w:evenVBand="0" w:oddHBand="0" w:evenHBand="0" w:firstRowFirstColumn="0" w:firstRowLastColumn="0" w:lastRowFirstColumn="0" w:lastRowLastColumn="0"/>
            <w:tcW w:w="8526" w:type="dxa"/>
          </w:tcPr>
          <w:p w14:paraId="12A2404E" w14:textId="77777777" w:rsidR="00B02841" w:rsidRPr="00B67ACC" w:rsidRDefault="00B02841" w:rsidP="00A33868">
            <w:pPr>
              <w:rPr>
                <w:b w:val="0"/>
                <w:bCs w:val="0"/>
                <w:u w:val="single"/>
                <w:lang w:val="en-US"/>
              </w:rPr>
            </w:pPr>
          </w:p>
        </w:tc>
        <w:tc>
          <w:tcPr>
            <w:tcW w:w="1356" w:type="dxa"/>
          </w:tcPr>
          <w:p w14:paraId="1BDE2D16"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u w:val="single"/>
                <w:lang w:val="en-US"/>
              </w:rPr>
            </w:pPr>
          </w:p>
        </w:tc>
        <w:tc>
          <w:tcPr>
            <w:tcW w:w="4508" w:type="dxa"/>
          </w:tcPr>
          <w:p w14:paraId="45C2F911"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u w:val="single"/>
                <w:lang w:val="en-US"/>
              </w:rPr>
            </w:pPr>
          </w:p>
        </w:tc>
      </w:tr>
      <w:tr w:rsidR="00B02841" w:rsidRPr="00B67ACC" w14:paraId="0ADA8490" w14:textId="63D9C881"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3CD9CEAD" w14:textId="77777777" w:rsidR="00B02841" w:rsidRPr="00B67ACC" w:rsidRDefault="00B02841" w:rsidP="00A33868">
            <w:pPr>
              <w:rPr>
                <w:lang w:val="en-US"/>
              </w:rPr>
            </w:pPr>
            <w:r w:rsidRPr="00B67ACC">
              <w:rPr>
                <w:color w:val="000000"/>
                <w:shd w:val="clear" w:color="auto" w:fill="FFFFFF"/>
              </w:rPr>
              <w:t>Over the past financial year, the Government has announced several changes that may impact your year-end tax planning for 2021 and the ATO has announced the audit taskforce for small business.</w:t>
            </w:r>
          </w:p>
        </w:tc>
        <w:tc>
          <w:tcPr>
            <w:tcW w:w="1356" w:type="dxa"/>
          </w:tcPr>
          <w:p w14:paraId="50386E4D"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color w:val="000000"/>
                <w:shd w:val="clear" w:color="auto" w:fill="FFFFFF"/>
              </w:rPr>
            </w:pPr>
          </w:p>
        </w:tc>
        <w:tc>
          <w:tcPr>
            <w:tcW w:w="4508" w:type="dxa"/>
          </w:tcPr>
          <w:p w14:paraId="34EDFA12"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color w:val="000000"/>
                <w:shd w:val="clear" w:color="auto" w:fill="FFFFFF"/>
              </w:rPr>
            </w:pPr>
          </w:p>
        </w:tc>
      </w:tr>
      <w:tr w:rsidR="00B02841" w:rsidRPr="00B67ACC" w14:paraId="63E65244" w14:textId="289F4C06" w:rsidTr="00A80986">
        <w:tc>
          <w:tcPr>
            <w:cnfStyle w:val="001000000000" w:firstRow="0" w:lastRow="0" w:firstColumn="1" w:lastColumn="0" w:oddVBand="0" w:evenVBand="0" w:oddHBand="0" w:evenHBand="0" w:firstRowFirstColumn="0" w:firstRowLastColumn="0" w:lastRowFirstColumn="0" w:lastRowLastColumn="0"/>
            <w:tcW w:w="8526" w:type="dxa"/>
          </w:tcPr>
          <w:p w14:paraId="7C1C4740" w14:textId="77777777" w:rsidR="00B02841" w:rsidRPr="00B67ACC" w:rsidRDefault="00B02841" w:rsidP="00A33868">
            <w:pPr>
              <w:rPr>
                <w:lang w:val="en-US"/>
              </w:rPr>
            </w:pPr>
            <w:r w:rsidRPr="00B67ACC">
              <w:rPr>
                <w:lang w:val="en-US"/>
              </w:rPr>
              <w:t>Some key business issues which may be relevant prior to the end of the financial year are outlined below.</w:t>
            </w:r>
          </w:p>
        </w:tc>
        <w:tc>
          <w:tcPr>
            <w:tcW w:w="1356" w:type="dxa"/>
          </w:tcPr>
          <w:p w14:paraId="4B29DC1F"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2344099"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098D0571" w14:textId="299EECD3"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5EEE9D3" w14:textId="77777777" w:rsidR="00B02841" w:rsidRPr="00B67ACC" w:rsidRDefault="00B02841" w:rsidP="00A33868">
            <w:pPr>
              <w:pStyle w:val="ListParagraph"/>
              <w:numPr>
                <w:ilvl w:val="0"/>
                <w:numId w:val="3"/>
              </w:numPr>
              <w:contextualSpacing/>
              <w:rPr>
                <w:lang w:val="en-US"/>
              </w:rPr>
            </w:pPr>
            <w:r w:rsidRPr="00B67ACC">
              <w:rPr>
                <w:lang w:val="en-US"/>
              </w:rPr>
              <w:t>Lower Company tax rate</w:t>
            </w:r>
          </w:p>
        </w:tc>
        <w:tc>
          <w:tcPr>
            <w:tcW w:w="1356" w:type="dxa"/>
          </w:tcPr>
          <w:p w14:paraId="165F0F57" w14:textId="77777777" w:rsidR="00B02841" w:rsidRPr="00B67ACC" w:rsidRDefault="00B02841" w:rsidP="00B67ACC">
            <w:pPr>
              <w:pStyle w:val="ListParagraph"/>
              <w:ind w:left="1080"/>
              <w:contextualSpacing/>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0F019D2" w14:textId="77777777" w:rsidR="00B02841" w:rsidRPr="00B67ACC" w:rsidRDefault="00B02841" w:rsidP="00B67ACC">
            <w:pPr>
              <w:pStyle w:val="ListParagraph"/>
              <w:ind w:left="1080"/>
              <w:contextualSpacing/>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351DF3E7" w14:textId="261B5C7D" w:rsidTr="00A80986">
        <w:tc>
          <w:tcPr>
            <w:cnfStyle w:val="001000000000" w:firstRow="0" w:lastRow="0" w:firstColumn="1" w:lastColumn="0" w:oddVBand="0" w:evenVBand="0" w:oddHBand="0" w:evenHBand="0" w:firstRowFirstColumn="0" w:firstRowLastColumn="0" w:lastRowFirstColumn="0" w:lastRowLastColumn="0"/>
            <w:tcW w:w="8526" w:type="dxa"/>
          </w:tcPr>
          <w:p w14:paraId="021685F7" w14:textId="77777777" w:rsidR="00B02841" w:rsidRPr="00B67ACC" w:rsidRDefault="00B02841" w:rsidP="00A33868">
            <w:pPr>
              <w:pStyle w:val="ListParagraph"/>
              <w:numPr>
                <w:ilvl w:val="0"/>
                <w:numId w:val="3"/>
              </w:numPr>
              <w:contextualSpacing/>
              <w:rPr>
                <w:lang w:val="en-US"/>
              </w:rPr>
            </w:pPr>
            <w:r w:rsidRPr="00B67ACC">
              <w:rPr>
                <w:lang w:val="en-US"/>
              </w:rPr>
              <w:t>Enhancing the instant asset write-off / Temporary Full Expensing measures</w:t>
            </w:r>
          </w:p>
        </w:tc>
        <w:tc>
          <w:tcPr>
            <w:tcW w:w="1356" w:type="dxa"/>
          </w:tcPr>
          <w:p w14:paraId="34CE8B92" w14:textId="77777777" w:rsidR="00B02841" w:rsidRPr="00B67ACC" w:rsidRDefault="00B02841" w:rsidP="00B67ACC">
            <w:pPr>
              <w:pStyle w:val="ListParagraph"/>
              <w:ind w:left="1080"/>
              <w:contextualSpacing/>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2B80107" w14:textId="77777777" w:rsidR="00B02841" w:rsidRPr="00B67ACC" w:rsidRDefault="00B02841" w:rsidP="00B67ACC">
            <w:pPr>
              <w:pStyle w:val="ListParagraph"/>
              <w:ind w:left="1080"/>
              <w:contextualSpacing/>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2791E1F" w14:textId="680C264F"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922ADF9" w14:textId="77777777" w:rsidR="00B02841" w:rsidRPr="00B67ACC" w:rsidRDefault="00B02841" w:rsidP="00A33868">
            <w:pPr>
              <w:pStyle w:val="ListParagraph"/>
              <w:numPr>
                <w:ilvl w:val="0"/>
                <w:numId w:val="3"/>
              </w:numPr>
              <w:contextualSpacing/>
              <w:rPr>
                <w:lang w:val="en-US"/>
              </w:rPr>
            </w:pPr>
            <w:r w:rsidRPr="00B67ACC">
              <w:rPr>
                <w:lang w:val="en-US"/>
              </w:rPr>
              <w:t>Loss Carry Back Tax Offset</w:t>
            </w:r>
          </w:p>
        </w:tc>
        <w:tc>
          <w:tcPr>
            <w:tcW w:w="1356" w:type="dxa"/>
          </w:tcPr>
          <w:p w14:paraId="43833D52" w14:textId="77777777" w:rsidR="00B02841" w:rsidRPr="00B67ACC" w:rsidRDefault="00B02841" w:rsidP="00B67ACC">
            <w:pPr>
              <w:pStyle w:val="ListParagraph"/>
              <w:ind w:left="1080"/>
              <w:contextualSpacing/>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35268A75" w14:textId="77777777" w:rsidR="00B02841" w:rsidRPr="00B67ACC" w:rsidRDefault="00B02841" w:rsidP="00B67ACC">
            <w:pPr>
              <w:pStyle w:val="ListParagraph"/>
              <w:ind w:left="1080"/>
              <w:contextualSpacing/>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66735467" w14:textId="229A683F" w:rsidTr="00A80986">
        <w:tc>
          <w:tcPr>
            <w:cnfStyle w:val="001000000000" w:firstRow="0" w:lastRow="0" w:firstColumn="1" w:lastColumn="0" w:oddVBand="0" w:evenVBand="0" w:oddHBand="0" w:evenHBand="0" w:firstRowFirstColumn="0" w:firstRowLastColumn="0" w:lastRowFirstColumn="0" w:lastRowLastColumn="0"/>
            <w:tcW w:w="8526" w:type="dxa"/>
          </w:tcPr>
          <w:p w14:paraId="1B855DFC" w14:textId="77777777" w:rsidR="00B02841" w:rsidRPr="00B67ACC" w:rsidRDefault="00B02841" w:rsidP="00A33868">
            <w:pPr>
              <w:pStyle w:val="ListParagraph"/>
              <w:numPr>
                <w:ilvl w:val="0"/>
                <w:numId w:val="3"/>
              </w:numPr>
              <w:contextualSpacing/>
              <w:rPr>
                <w:lang w:val="en-US"/>
              </w:rPr>
            </w:pPr>
            <w:r w:rsidRPr="00B67ACC">
              <w:rPr>
                <w:lang w:val="en-US"/>
              </w:rPr>
              <w:t>PSI/PSB and General Anti Avoidance Rule</w:t>
            </w:r>
          </w:p>
        </w:tc>
        <w:tc>
          <w:tcPr>
            <w:tcW w:w="1356" w:type="dxa"/>
          </w:tcPr>
          <w:p w14:paraId="159E2468" w14:textId="77777777" w:rsidR="00B02841" w:rsidRPr="00B67ACC" w:rsidRDefault="00B02841" w:rsidP="00B67ACC">
            <w:pPr>
              <w:contextualSpacing/>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189E0624" w14:textId="77777777" w:rsidR="00B02841" w:rsidRPr="00B67ACC" w:rsidRDefault="00B02841" w:rsidP="00B67ACC">
            <w:pPr>
              <w:contextualSpacing/>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69E0C1D8" w14:textId="015E50F9"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179D4AC" w14:textId="77777777" w:rsidR="00B02841" w:rsidRPr="00B67ACC" w:rsidRDefault="00B02841" w:rsidP="00A33868">
            <w:pPr>
              <w:pStyle w:val="ListParagraph"/>
              <w:numPr>
                <w:ilvl w:val="0"/>
                <w:numId w:val="3"/>
              </w:numPr>
              <w:contextualSpacing/>
              <w:rPr>
                <w:lang w:val="en-US"/>
              </w:rPr>
            </w:pPr>
            <w:r w:rsidRPr="00B67ACC">
              <w:rPr>
                <w:lang w:val="en-US"/>
              </w:rPr>
              <w:t>Trustee Resolutions</w:t>
            </w:r>
          </w:p>
        </w:tc>
        <w:tc>
          <w:tcPr>
            <w:tcW w:w="1356" w:type="dxa"/>
          </w:tcPr>
          <w:p w14:paraId="3F9D9FDF" w14:textId="77777777" w:rsidR="00B02841" w:rsidRPr="00B67ACC" w:rsidRDefault="00B02841" w:rsidP="00B67ACC">
            <w:pPr>
              <w:pStyle w:val="ListParagraph"/>
              <w:ind w:left="1080"/>
              <w:contextualSpacing/>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1A551549" w14:textId="77777777" w:rsidR="00B02841" w:rsidRPr="00B67ACC" w:rsidRDefault="00B02841" w:rsidP="00B67ACC">
            <w:pPr>
              <w:pStyle w:val="ListParagraph"/>
              <w:ind w:left="1080"/>
              <w:contextualSpacing/>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41D5B1D5" w14:textId="4D1E472B" w:rsidTr="00A80986">
        <w:tc>
          <w:tcPr>
            <w:cnfStyle w:val="001000000000" w:firstRow="0" w:lastRow="0" w:firstColumn="1" w:lastColumn="0" w:oddVBand="0" w:evenVBand="0" w:oddHBand="0" w:evenHBand="0" w:firstRowFirstColumn="0" w:firstRowLastColumn="0" w:lastRowFirstColumn="0" w:lastRowLastColumn="0"/>
            <w:tcW w:w="8526" w:type="dxa"/>
          </w:tcPr>
          <w:p w14:paraId="6E7962F1" w14:textId="77777777" w:rsidR="00B02841" w:rsidRPr="00B67ACC" w:rsidRDefault="00B02841" w:rsidP="00A33868">
            <w:pPr>
              <w:pStyle w:val="ListParagraph"/>
              <w:numPr>
                <w:ilvl w:val="0"/>
                <w:numId w:val="3"/>
              </w:numPr>
              <w:rPr>
                <w:lang w:val="en-US"/>
              </w:rPr>
            </w:pPr>
            <w:r w:rsidRPr="00B67ACC">
              <w:rPr>
                <w:lang w:val="en-US"/>
              </w:rPr>
              <w:t>Division 7A – Shareholder Loans</w:t>
            </w:r>
          </w:p>
        </w:tc>
        <w:tc>
          <w:tcPr>
            <w:tcW w:w="1356" w:type="dxa"/>
          </w:tcPr>
          <w:p w14:paraId="47E62E26" w14:textId="77777777" w:rsidR="00B02841" w:rsidRPr="00B67ACC" w:rsidRDefault="00B02841" w:rsidP="00B67ACC">
            <w:pPr>
              <w:pStyle w:val="ListParagraph"/>
              <w:ind w:left="1080"/>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1D9D2410" w14:textId="77777777" w:rsidR="00B02841" w:rsidRPr="00B67ACC" w:rsidRDefault="00B02841" w:rsidP="00B67ACC">
            <w:pPr>
              <w:pStyle w:val="ListParagraph"/>
              <w:ind w:left="1080"/>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58FA30C" w14:textId="307D371B"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3E142301" w14:textId="77777777" w:rsidR="00B02841" w:rsidRPr="00B67ACC" w:rsidRDefault="00B02841" w:rsidP="00A33868">
            <w:pPr>
              <w:pStyle w:val="ListParagraph"/>
              <w:numPr>
                <w:ilvl w:val="0"/>
                <w:numId w:val="3"/>
              </w:numPr>
              <w:rPr>
                <w:lang w:val="en-US"/>
              </w:rPr>
            </w:pPr>
            <w:r w:rsidRPr="00B67ACC">
              <w:rPr>
                <w:lang w:val="en-US"/>
              </w:rPr>
              <w:t>Basic Year-End Strategies</w:t>
            </w:r>
          </w:p>
        </w:tc>
        <w:tc>
          <w:tcPr>
            <w:tcW w:w="1356" w:type="dxa"/>
          </w:tcPr>
          <w:p w14:paraId="65F7F6D6" w14:textId="77777777" w:rsidR="00B02841" w:rsidRPr="00B67ACC" w:rsidRDefault="00B02841" w:rsidP="00B67ACC">
            <w:pPr>
              <w:pStyle w:val="ListParagraph"/>
              <w:ind w:left="1080"/>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4EB7D09D" w14:textId="77777777" w:rsidR="00B02841" w:rsidRPr="00B67ACC" w:rsidRDefault="00B02841" w:rsidP="00B67ACC">
            <w:pPr>
              <w:pStyle w:val="ListParagraph"/>
              <w:ind w:left="1080"/>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41BB841D" w14:textId="7CCAEDA6" w:rsidTr="00A80986">
        <w:tc>
          <w:tcPr>
            <w:cnfStyle w:val="001000000000" w:firstRow="0" w:lastRow="0" w:firstColumn="1" w:lastColumn="0" w:oddVBand="0" w:evenVBand="0" w:oddHBand="0" w:evenHBand="0" w:firstRowFirstColumn="0" w:firstRowLastColumn="0" w:lastRowFirstColumn="0" w:lastRowLastColumn="0"/>
            <w:tcW w:w="8526" w:type="dxa"/>
          </w:tcPr>
          <w:p w14:paraId="126EDA5B" w14:textId="77777777" w:rsidR="00B02841" w:rsidRPr="00B67ACC" w:rsidRDefault="00B02841" w:rsidP="00A33868">
            <w:pPr>
              <w:pStyle w:val="ListParagraph"/>
              <w:numPr>
                <w:ilvl w:val="0"/>
                <w:numId w:val="3"/>
              </w:numPr>
              <w:rPr>
                <w:lang w:val="en-US"/>
              </w:rPr>
            </w:pPr>
            <w:proofErr w:type="spellStart"/>
            <w:r w:rsidRPr="00B67ACC">
              <w:rPr>
                <w:lang w:val="en-US"/>
              </w:rPr>
              <w:t>JobKeeper</w:t>
            </w:r>
            <w:proofErr w:type="spellEnd"/>
            <w:r w:rsidRPr="00B67ACC">
              <w:rPr>
                <w:lang w:val="en-US"/>
              </w:rPr>
              <w:t xml:space="preserve"> Payments</w:t>
            </w:r>
          </w:p>
        </w:tc>
        <w:tc>
          <w:tcPr>
            <w:tcW w:w="1356" w:type="dxa"/>
          </w:tcPr>
          <w:p w14:paraId="5444F585"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100BF89C"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06DC7DE5" w14:textId="364D438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1C82912" w14:textId="77777777" w:rsidR="00B02841" w:rsidRPr="00B67ACC" w:rsidRDefault="00B02841" w:rsidP="00A33868">
            <w:pPr>
              <w:pStyle w:val="ListParagraph"/>
              <w:numPr>
                <w:ilvl w:val="0"/>
                <w:numId w:val="3"/>
              </w:numPr>
              <w:rPr>
                <w:lang w:val="en-US"/>
              </w:rPr>
            </w:pPr>
            <w:r w:rsidRPr="00B67ACC">
              <w:rPr>
                <w:lang w:val="en-US"/>
              </w:rPr>
              <w:t>Cashflow Boost</w:t>
            </w:r>
          </w:p>
        </w:tc>
        <w:tc>
          <w:tcPr>
            <w:tcW w:w="1356" w:type="dxa"/>
          </w:tcPr>
          <w:p w14:paraId="3029E6CB"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4D245720"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64EC42C6" w14:textId="062F529A" w:rsidTr="00A80986">
        <w:tc>
          <w:tcPr>
            <w:cnfStyle w:val="001000000000" w:firstRow="0" w:lastRow="0" w:firstColumn="1" w:lastColumn="0" w:oddVBand="0" w:evenVBand="0" w:oddHBand="0" w:evenHBand="0" w:firstRowFirstColumn="0" w:firstRowLastColumn="0" w:lastRowFirstColumn="0" w:lastRowLastColumn="0"/>
            <w:tcW w:w="8526" w:type="dxa"/>
          </w:tcPr>
          <w:p w14:paraId="53D67250" w14:textId="77777777" w:rsidR="00B02841" w:rsidRPr="00B67ACC" w:rsidRDefault="00B02841" w:rsidP="00A33868">
            <w:pPr>
              <w:pStyle w:val="ListParagraph"/>
              <w:ind w:left="0"/>
              <w:contextualSpacing/>
              <w:rPr>
                <w:lang w:val="en-US"/>
              </w:rPr>
            </w:pPr>
          </w:p>
        </w:tc>
        <w:tc>
          <w:tcPr>
            <w:tcW w:w="1356" w:type="dxa"/>
          </w:tcPr>
          <w:p w14:paraId="3D828D8C" w14:textId="77777777" w:rsidR="00B02841" w:rsidRPr="00B67ACC" w:rsidRDefault="00B02841" w:rsidP="00A33868">
            <w:pPr>
              <w:pStyle w:val="ListParagraph"/>
              <w:ind w:left="0"/>
              <w:contextualSpacing/>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6080879B" w14:textId="77777777" w:rsidR="00B02841" w:rsidRPr="00B67ACC" w:rsidRDefault="00B02841" w:rsidP="00A33868">
            <w:pPr>
              <w:pStyle w:val="ListParagraph"/>
              <w:ind w:left="0"/>
              <w:contextualSpacing/>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33776483" w14:textId="3DDF1ED9"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6CA8C5B" w14:textId="77777777" w:rsidR="00B02841" w:rsidRPr="00B67ACC" w:rsidRDefault="00B02841" w:rsidP="00A33868">
            <w:pPr>
              <w:pStyle w:val="ListParagraph"/>
              <w:ind w:left="0"/>
              <w:contextualSpacing/>
              <w:rPr>
                <w:lang w:val="en-US"/>
              </w:rPr>
            </w:pPr>
          </w:p>
        </w:tc>
        <w:tc>
          <w:tcPr>
            <w:tcW w:w="1356" w:type="dxa"/>
          </w:tcPr>
          <w:p w14:paraId="5BF3A42A" w14:textId="77777777" w:rsidR="00B02841" w:rsidRPr="00B67ACC" w:rsidRDefault="00B02841" w:rsidP="00A33868">
            <w:pPr>
              <w:pStyle w:val="ListParagraph"/>
              <w:ind w:left="0"/>
              <w:contextualSpacing/>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33AF46FF" w14:textId="77777777" w:rsidR="00B02841" w:rsidRPr="00B67ACC" w:rsidRDefault="00B02841" w:rsidP="00A33868">
            <w:pPr>
              <w:pStyle w:val="ListParagraph"/>
              <w:ind w:left="0"/>
              <w:contextualSpacing/>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1674483" w14:textId="66436825" w:rsidTr="00A80986">
        <w:tc>
          <w:tcPr>
            <w:cnfStyle w:val="001000000000" w:firstRow="0" w:lastRow="0" w:firstColumn="1" w:lastColumn="0" w:oddVBand="0" w:evenVBand="0" w:oddHBand="0" w:evenHBand="0" w:firstRowFirstColumn="0" w:firstRowLastColumn="0" w:lastRowFirstColumn="0" w:lastRowLastColumn="0"/>
            <w:tcW w:w="8526" w:type="dxa"/>
          </w:tcPr>
          <w:p w14:paraId="0657CD2F" w14:textId="77777777" w:rsidR="00B02841" w:rsidRPr="00B67ACC" w:rsidRDefault="00B02841" w:rsidP="00A33868">
            <w:pPr>
              <w:rPr>
                <w:b w:val="0"/>
                <w:bCs w:val="0"/>
                <w:lang w:val="en-US"/>
              </w:rPr>
            </w:pPr>
            <w:r w:rsidRPr="00B67ACC">
              <w:rPr>
                <w:lang w:val="en-US"/>
              </w:rPr>
              <w:t>Lower company tax rate</w:t>
            </w:r>
          </w:p>
        </w:tc>
        <w:tc>
          <w:tcPr>
            <w:tcW w:w="1356" w:type="dxa"/>
          </w:tcPr>
          <w:p w14:paraId="38F3ADF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42FF4688"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4CAAD2BD" w14:textId="5641A93F"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21BC3786" w14:textId="77777777" w:rsidR="00B02841" w:rsidRPr="00B67ACC" w:rsidRDefault="00B02841" w:rsidP="00A33868">
            <w:pPr>
              <w:rPr>
                <w:lang w:val="en-US"/>
              </w:rPr>
            </w:pPr>
            <w:r w:rsidRPr="00B67ACC">
              <w:rPr>
                <w:lang w:val="en-US"/>
              </w:rPr>
              <w:t xml:space="preserve">It is critical to establish </w:t>
            </w:r>
            <w:proofErr w:type="gramStart"/>
            <w:r w:rsidRPr="00B67ACC">
              <w:rPr>
                <w:lang w:val="en-US"/>
              </w:rPr>
              <w:t>whether or not</w:t>
            </w:r>
            <w:proofErr w:type="gramEnd"/>
            <w:r w:rsidRPr="00B67ACC">
              <w:rPr>
                <w:lang w:val="en-US"/>
              </w:rPr>
              <w:t xml:space="preserve"> a company is a base rate entity for the purposes of determining the amount of its income tax liability for the year ended 30 June 2021.</w:t>
            </w:r>
          </w:p>
        </w:tc>
        <w:tc>
          <w:tcPr>
            <w:tcW w:w="1356" w:type="dxa"/>
          </w:tcPr>
          <w:p w14:paraId="09E2066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3006A78F"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160A588A" w14:textId="0A56F258" w:rsidTr="00A80986">
        <w:tc>
          <w:tcPr>
            <w:cnfStyle w:val="001000000000" w:firstRow="0" w:lastRow="0" w:firstColumn="1" w:lastColumn="0" w:oddVBand="0" w:evenVBand="0" w:oddHBand="0" w:evenHBand="0" w:firstRowFirstColumn="0" w:firstRowLastColumn="0" w:lastRowFirstColumn="0" w:lastRowLastColumn="0"/>
            <w:tcW w:w="8526" w:type="dxa"/>
          </w:tcPr>
          <w:p w14:paraId="50638C4D" w14:textId="77777777" w:rsidR="00B02841" w:rsidRPr="00B67ACC" w:rsidRDefault="00B02841" w:rsidP="00A33868">
            <w:pPr>
              <w:rPr>
                <w:lang w:val="en-US"/>
              </w:rPr>
            </w:pPr>
          </w:p>
        </w:tc>
        <w:tc>
          <w:tcPr>
            <w:tcW w:w="1356" w:type="dxa"/>
          </w:tcPr>
          <w:p w14:paraId="3ADCC3EF"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49BC1D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07F1B71C" w14:textId="2667D422"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25F3758F" w14:textId="77777777" w:rsidR="00B02841" w:rsidRPr="00B67ACC" w:rsidRDefault="00B02841" w:rsidP="00A33868">
            <w:pPr>
              <w:rPr>
                <w:lang w:val="en-US"/>
              </w:rPr>
            </w:pPr>
            <w:r w:rsidRPr="00B67ACC">
              <w:rPr>
                <w:lang w:val="en-US"/>
              </w:rPr>
              <w:t>A company which is a base rate entity will pay tax at a rate of 26% on its taxable income for the year ended 30 June 2021 whereas a company which is not a base rate entity will pay tax on its taxable income at the 30% tax rate for the 2021 year.</w:t>
            </w:r>
          </w:p>
        </w:tc>
        <w:tc>
          <w:tcPr>
            <w:tcW w:w="1356" w:type="dxa"/>
          </w:tcPr>
          <w:p w14:paraId="66535D4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7841E853"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2BB4B748" w14:textId="137ABF67" w:rsidTr="00A80986">
        <w:tc>
          <w:tcPr>
            <w:cnfStyle w:val="001000000000" w:firstRow="0" w:lastRow="0" w:firstColumn="1" w:lastColumn="0" w:oddVBand="0" w:evenVBand="0" w:oddHBand="0" w:evenHBand="0" w:firstRowFirstColumn="0" w:firstRowLastColumn="0" w:lastRowFirstColumn="0" w:lastRowLastColumn="0"/>
            <w:tcW w:w="8526" w:type="dxa"/>
          </w:tcPr>
          <w:p w14:paraId="5F0A5D93" w14:textId="77777777" w:rsidR="00B02841" w:rsidRPr="00B67ACC" w:rsidRDefault="00B02841" w:rsidP="00A33868">
            <w:pPr>
              <w:rPr>
                <w:lang w:val="en-US"/>
              </w:rPr>
            </w:pPr>
          </w:p>
        </w:tc>
        <w:tc>
          <w:tcPr>
            <w:tcW w:w="1356" w:type="dxa"/>
          </w:tcPr>
          <w:p w14:paraId="61E6855B"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670D80A6"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367BF688" w14:textId="0C0D3CEB"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4EE807B1" w14:textId="77777777" w:rsidR="00B02841" w:rsidRPr="00B67ACC" w:rsidRDefault="00B02841" w:rsidP="00A33868">
            <w:pPr>
              <w:rPr>
                <w:lang w:val="en-US"/>
              </w:rPr>
            </w:pPr>
            <w:r w:rsidRPr="00B67ACC">
              <w:rPr>
                <w:lang w:val="en-US"/>
              </w:rPr>
              <w:t xml:space="preserve">A company will be regarded as being a base rate entity if no more than 80% of the company’s assessable income comprises ‘base rate entity passive income’ (BREPI) and its ‘aggregated turnover’ is less than $50 million for the year ended 30 June 2021. For these </w:t>
            </w:r>
            <w:r w:rsidRPr="00B67ACC">
              <w:rPr>
                <w:lang w:val="en-US"/>
              </w:rPr>
              <w:lastRenderedPageBreak/>
              <w:t>purposes aggregated turnover is only calculated on the relevant annual turnover of the company and its affiliates and connected entities for the current year being 30 June 2021.</w:t>
            </w:r>
          </w:p>
        </w:tc>
        <w:tc>
          <w:tcPr>
            <w:tcW w:w="1356" w:type="dxa"/>
          </w:tcPr>
          <w:p w14:paraId="2FA45158"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72E6CA53"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37649F85" w14:textId="1AECD2E2" w:rsidTr="00A80986">
        <w:tc>
          <w:tcPr>
            <w:cnfStyle w:val="001000000000" w:firstRow="0" w:lastRow="0" w:firstColumn="1" w:lastColumn="0" w:oddVBand="0" w:evenVBand="0" w:oddHBand="0" w:evenHBand="0" w:firstRowFirstColumn="0" w:firstRowLastColumn="0" w:lastRowFirstColumn="0" w:lastRowLastColumn="0"/>
            <w:tcW w:w="8526" w:type="dxa"/>
          </w:tcPr>
          <w:p w14:paraId="4CAD8218" w14:textId="77777777" w:rsidR="00B02841" w:rsidRPr="00B67ACC" w:rsidRDefault="00B02841" w:rsidP="00A33868">
            <w:pPr>
              <w:rPr>
                <w:lang w:val="en-US"/>
              </w:rPr>
            </w:pPr>
          </w:p>
        </w:tc>
        <w:tc>
          <w:tcPr>
            <w:tcW w:w="1356" w:type="dxa"/>
          </w:tcPr>
          <w:p w14:paraId="743B5DB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A62DDFB"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3D1AA32D" w14:textId="0DEA8A4D"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2A489220" w14:textId="77777777" w:rsidR="00B02841" w:rsidRPr="00B67ACC" w:rsidRDefault="00B02841" w:rsidP="00A33868">
            <w:pPr>
              <w:rPr>
                <w:lang w:val="en-US"/>
              </w:rPr>
            </w:pPr>
            <w:r w:rsidRPr="00B67ACC">
              <w:rPr>
                <w:lang w:val="en-US"/>
              </w:rPr>
              <w:t>Important to note that the base rate for 2022 and onwards will be reduced to 25%.</w:t>
            </w:r>
          </w:p>
        </w:tc>
        <w:tc>
          <w:tcPr>
            <w:tcW w:w="1356" w:type="dxa"/>
          </w:tcPr>
          <w:p w14:paraId="0E8045A6"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79C87493"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1B00563E" w14:textId="1A2D2BFB" w:rsidTr="00A80986">
        <w:tc>
          <w:tcPr>
            <w:cnfStyle w:val="001000000000" w:firstRow="0" w:lastRow="0" w:firstColumn="1" w:lastColumn="0" w:oddVBand="0" w:evenVBand="0" w:oddHBand="0" w:evenHBand="0" w:firstRowFirstColumn="0" w:firstRowLastColumn="0" w:lastRowFirstColumn="0" w:lastRowLastColumn="0"/>
            <w:tcW w:w="8526" w:type="dxa"/>
          </w:tcPr>
          <w:p w14:paraId="41F2CF1D" w14:textId="77777777" w:rsidR="00B02841" w:rsidRPr="00B67ACC" w:rsidRDefault="00B02841" w:rsidP="00A33868">
            <w:pPr>
              <w:rPr>
                <w:lang w:val="en-US"/>
              </w:rPr>
            </w:pPr>
          </w:p>
        </w:tc>
        <w:tc>
          <w:tcPr>
            <w:tcW w:w="1356" w:type="dxa"/>
          </w:tcPr>
          <w:p w14:paraId="1B44CA19"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51FD0A5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530C7756" w14:textId="73824A06"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6F93FAB" w14:textId="77777777" w:rsidR="00B02841" w:rsidRPr="00B67ACC" w:rsidRDefault="00B02841" w:rsidP="00A33868">
            <w:pPr>
              <w:rPr>
                <w:lang w:val="en-US"/>
              </w:rPr>
            </w:pPr>
            <w:r w:rsidRPr="00B67ACC">
              <w:rPr>
                <w:lang w:val="en-US"/>
              </w:rPr>
              <w:t>Consider the advantage of paying franked dividends at 26%, rather than the reduced 25% in future years.</w:t>
            </w:r>
          </w:p>
        </w:tc>
        <w:tc>
          <w:tcPr>
            <w:tcW w:w="1356" w:type="dxa"/>
          </w:tcPr>
          <w:p w14:paraId="4D90310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685EBEA4"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589A167" w14:textId="15C47A2A" w:rsidTr="00A80986">
        <w:tc>
          <w:tcPr>
            <w:cnfStyle w:val="001000000000" w:firstRow="0" w:lastRow="0" w:firstColumn="1" w:lastColumn="0" w:oddVBand="0" w:evenVBand="0" w:oddHBand="0" w:evenHBand="0" w:firstRowFirstColumn="0" w:firstRowLastColumn="0" w:lastRowFirstColumn="0" w:lastRowLastColumn="0"/>
            <w:tcW w:w="8526" w:type="dxa"/>
          </w:tcPr>
          <w:p w14:paraId="204AED98" w14:textId="77777777" w:rsidR="00B02841" w:rsidRPr="00B67ACC" w:rsidRDefault="00B02841" w:rsidP="00A33868">
            <w:pPr>
              <w:rPr>
                <w:lang w:val="en-US"/>
              </w:rPr>
            </w:pPr>
          </w:p>
        </w:tc>
        <w:tc>
          <w:tcPr>
            <w:tcW w:w="1356" w:type="dxa"/>
          </w:tcPr>
          <w:p w14:paraId="10D999AE"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2D8F55E8"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31079FB3" w14:textId="6EDF650B"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3C01EDAB" w14:textId="77777777" w:rsidR="00B02841" w:rsidRPr="00B67ACC" w:rsidRDefault="00B02841" w:rsidP="00A33868">
            <w:pPr>
              <w:rPr>
                <w:lang w:val="en-US"/>
              </w:rPr>
            </w:pPr>
          </w:p>
        </w:tc>
        <w:tc>
          <w:tcPr>
            <w:tcW w:w="1356" w:type="dxa"/>
          </w:tcPr>
          <w:p w14:paraId="3FF0F1CF"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0B3446F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1A92DF70" w14:textId="6F924D69" w:rsidTr="00A80986">
        <w:tc>
          <w:tcPr>
            <w:cnfStyle w:val="001000000000" w:firstRow="0" w:lastRow="0" w:firstColumn="1" w:lastColumn="0" w:oddVBand="0" w:evenVBand="0" w:oddHBand="0" w:evenHBand="0" w:firstRowFirstColumn="0" w:firstRowLastColumn="0" w:lastRowFirstColumn="0" w:lastRowLastColumn="0"/>
            <w:tcW w:w="8526" w:type="dxa"/>
          </w:tcPr>
          <w:p w14:paraId="0C86630F" w14:textId="77777777" w:rsidR="00B02841" w:rsidRPr="00B67ACC" w:rsidRDefault="00B02841" w:rsidP="00A33868">
            <w:pPr>
              <w:rPr>
                <w:b w:val="0"/>
                <w:bCs w:val="0"/>
                <w:lang w:val="en-US"/>
              </w:rPr>
            </w:pPr>
            <w:r w:rsidRPr="00B67ACC">
              <w:rPr>
                <w:lang w:val="en-US"/>
              </w:rPr>
              <w:t>Enhancing the instant asset write-off</w:t>
            </w:r>
          </w:p>
        </w:tc>
        <w:tc>
          <w:tcPr>
            <w:tcW w:w="1356" w:type="dxa"/>
          </w:tcPr>
          <w:p w14:paraId="63C7DB11"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5AB0A862"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04334844" w14:textId="46389F8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F928CE1" w14:textId="77777777" w:rsidR="00B02841" w:rsidRPr="00B67ACC" w:rsidRDefault="00B02841" w:rsidP="00A33868">
            <w:pPr>
              <w:shd w:val="clear" w:color="auto" w:fill="FFFFFF"/>
              <w:spacing w:line="360" w:lineRule="atLeast"/>
            </w:pPr>
            <w:r w:rsidRPr="00B67ACC">
              <w:rPr>
                <w:color w:val="000000"/>
              </w:rPr>
              <w:t xml:space="preserve">For assets first used or installed ready for use between </w:t>
            </w:r>
            <w:r w:rsidRPr="00B67ACC">
              <w:rPr>
                <w:color w:val="000000"/>
                <w:u w:val="single"/>
              </w:rPr>
              <w:t>12 March 2020 until 30 June 2021</w:t>
            </w:r>
            <w:r w:rsidRPr="00B67ACC">
              <w:rPr>
                <w:color w:val="000000"/>
              </w:rPr>
              <w:t xml:space="preserve">, providing the asset was purchased by 31 December 2020, the instant asset write-off: </w:t>
            </w:r>
          </w:p>
        </w:tc>
        <w:tc>
          <w:tcPr>
            <w:tcW w:w="1356" w:type="dxa"/>
          </w:tcPr>
          <w:p w14:paraId="073A5464" w14:textId="77777777" w:rsidR="00B02841" w:rsidRPr="00B67ACC" w:rsidRDefault="00B02841" w:rsidP="00A33868">
            <w:pPr>
              <w:shd w:val="clear" w:color="auto" w:fill="FFFFFF"/>
              <w:spacing w:line="360" w:lineRule="atLeast"/>
              <w:cnfStyle w:val="000000100000" w:firstRow="0" w:lastRow="0" w:firstColumn="0" w:lastColumn="0" w:oddVBand="0" w:evenVBand="0" w:oddHBand="1" w:evenHBand="0" w:firstRowFirstColumn="0" w:firstRowLastColumn="0" w:lastRowFirstColumn="0" w:lastRowLastColumn="0"/>
              <w:rPr>
                <w:color w:val="000000"/>
              </w:rPr>
            </w:pPr>
          </w:p>
        </w:tc>
        <w:tc>
          <w:tcPr>
            <w:tcW w:w="4508" w:type="dxa"/>
          </w:tcPr>
          <w:p w14:paraId="054CD56A" w14:textId="77777777" w:rsidR="00B02841" w:rsidRPr="00B67ACC" w:rsidRDefault="00B02841" w:rsidP="00A33868">
            <w:pPr>
              <w:shd w:val="clear" w:color="auto" w:fill="FFFFFF"/>
              <w:spacing w:line="360" w:lineRule="atLeast"/>
              <w:cnfStyle w:val="000000100000" w:firstRow="0" w:lastRow="0" w:firstColumn="0" w:lastColumn="0" w:oddVBand="0" w:evenVBand="0" w:oddHBand="1" w:evenHBand="0" w:firstRowFirstColumn="0" w:firstRowLastColumn="0" w:lastRowFirstColumn="0" w:lastRowLastColumn="0"/>
              <w:rPr>
                <w:color w:val="000000"/>
              </w:rPr>
            </w:pPr>
          </w:p>
        </w:tc>
      </w:tr>
      <w:tr w:rsidR="00B02841" w:rsidRPr="00B67ACC" w14:paraId="3A8DDC87" w14:textId="6FA3EF0A" w:rsidTr="00A80986">
        <w:tc>
          <w:tcPr>
            <w:cnfStyle w:val="001000000000" w:firstRow="0" w:lastRow="0" w:firstColumn="1" w:lastColumn="0" w:oddVBand="0" w:evenVBand="0" w:oddHBand="0" w:evenHBand="0" w:firstRowFirstColumn="0" w:firstRowLastColumn="0" w:lastRowFirstColumn="0" w:lastRowLastColumn="0"/>
            <w:tcW w:w="8526" w:type="dxa"/>
          </w:tcPr>
          <w:p w14:paraId="3E6818D8" w14:textId="77777777" w:rsidR="00B02841" w:rsidRPr="00B67ACC" w:rsidRDefault="00B02841" w:rsidP="00A33868">
            <w:pPr>
              <w:numPr>
                <w:ilvl w:val="0"/>
                <w:numId w:val="4"/>
              </w:numPr>
              <w:shd w:val="clear" w:color="auto" w:fill="FFFFFF"/>
              <w:rPr>
                <w:rFonts w:eastAsia="Times New Roman"/>
              </w:rPr>
            </w:pPr>
            <w:r w:rsidRPr="00B67ACC">
              <w:rPr>
                <w:rFonts w:eastAsia="Times New Roman"/>
                <w:color w:val="000000"/>
              </w:rPr>
              <w:t>threshold amount for each asset is $150,000 (up from $30,000)</w:t>
            </w:r>
          </w:p>
        </w:tc>
        <w:tc>
          <w:tcPr>
            <w:tcW w:w="1356" w:type="dxa"/>
          </w:tcPr>
          <w:p w14:paraId="773B2C11" w14:textId="77777777" w:rsidR="00B02841" w:rsidRPr="00B67ACC" w:rsidRDefault="00B02841" w:rsidP="00B67ACC">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4508" w:type="dxa"/>
          </w:tcPr>
          <w:p w14:paraId="7F1640EC" w14:textId="77777777" w:rsidR="00B02841" w:rsidRPr="00B67ACC" w:rsidRDefault="00B02841" w:rsidP="00B67ACC">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B02841" w:rsidRPr="00B67ACC" w14:paraId="37045AC4" w14:textId="13C5AC53"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F51FA83" w14:textId="77777777" w:rsidR="00B02841" w:rsidRPr="00B67ACC" w:rsidRDefault="00B02841" w:rsidP="00A33868">
            <w:pPr>
              <w:numPr>
                <w:ilvl w:val="0"/>
                <w:numId w:val="4"/>
              </w:numPr>
              <w:shd w:val="clear" w:color="auto" w:fill="FFFFFF"/>
              <w:rPr>
                <w:rFonts w:eastAsia="Times New Roman"/>
              </w:rPr>
            </w:pPr>
            <w:r w:rsidRPr="00B67ACC">
              <w:rPr>
                <w:rFonts w:eastAsia="Times New Roman"/>
                <w:color w:val="000000"/>
              </w:rPr>
              <w:t>eligibility extends to businesses with an aggregated turnover of less than $500 million (up from $50 million).</w:t>
            </w:r>
          </w:p>
        </w:tc>
        <w:tc>
          <w:tcPr>
            <w:tcW w:w="1356" w:type="dxa"/>
          </w:tcPr>
          <w:p w14:paraId="5FDF5E88" w14:textId="77777777" w:rsidR="00B02841" w:rsidRPr="00B67ACC" w:rsidRDefault="00B02841" w:rsidP="00B67AC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4508" w:type="dxa"/>
          </w:tcPr>
          <w:p w14:paraId="2170B91B" w14:textId="77777777" w:rsidR="00B02841" w:rsidRPr="00B67ACC" w:rsidRDefault="00B02841" w:rsidP="00B67AC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B02841" w:rsidRPr="00B67ACC" w14:paraId="4D6A0EA6" w14:textId="7C7A0930" w:rsidTr="00A80986">
        <w:tc>
          <w:tcPr>
            <w:cnfStyle w:val="001000000000" w:firstRow="0" w:lastRow="0" w:firstColumn="1" w:lastColumn="0" w:oddVBand="0" w:evenVBand="0" w:oddHBand="0" w:evenHBand="0" w:firstRowFirstColumn="0" w:firstRowLastColumn="0" w:lastRowFirstColumn="0" w:lastRowLastColumn="0"/>
            <w:tcW w:w="8526" w:type="dxa"/>
          </w:tcPr>
          <w:p w14:paraId="3D1AEFB0" w14:textId="77777777" w:rsidR="00B02841" w:rsidRPr="00B67ACC" w:rsidRDefault="00B02841" w:rsidP="00A33868">
            <w:pPr>
              <w:shd w:val="clear" w:color="auto" w:fill="FFFFFF"/>
            </w:pPr>
          </w:p>
        </w:tc>
        <w:tc>
          <w:tcPr>
            <w:tcW w:w="1356" w:type="dxa"/>
          </w:tcPr>
          <w:p w14:paraId="39187860" w14:textId="77777777" w:rsidR="00B02841" w:rsidRPr="00B67ACC" w:rsidRDefault="00B02841" w:rsidP="00A33868">
            <w:pPr>
              <w:shd w:val="clear" w:color="auto" w:fill="FFFFFF"/>
              <w:cnfStyle w:val="000000000000" w:firstRow="0" w:lastRow="0" w:firstColumn="0" w:lastColumn="0" w:oddVBand="0" w:evenVBand="0" w:oddHBand="0" w:evenHBand="0" w:firstRowFirstColumn="0" w:firstRowLastColumn="0" w:lastRowFirstColumn="0" w:lastRowLastColumn="0"/>
            </w:pPr>
          </w:p>
        </w:tc>
        <w:tc>
          <w:tcPr>
            <w:tcW w:w="4508" w:type="dxa"/>
          </w:tcPr>
          <w:p w14:paraId="70BF621B" w14:textId="77777777" w:rsidR="00B02841" w:rsidRPr="00B67ACC" w:rsidRDefault="00B02841" w:rsidP="00A33868">
            <w:pPr>
              <w:shd w:val="clear" w:color="auto" w:fill="FFFFFF"/>
              <w:cnfStyle w:val="000000000000" w:firstRow="0" w:lastRow="0" w:firstColumn="0" w:lastColumn="0" w:oddVBand="0" w:evenVBand="0" w:oddHBand="0" w:evenHBand="0" w:firstRowFirstColumn="0" w:firstRowLastColumn="0" w:lastRowFirstColumn="0" w:lastRowLastColumn="0"/>
            </w:pPr>
          </w:p>
        </w:tc>
      </w:tr>
      <w:tr w:rsidR="00B02841" w:rsidRPr="00B67ACC" w14:paraId="19E0D764" w14:textId="7923A6C2"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8C0DCBB" w14:textId="77777777" w:rsidR="00B02841" w:rsidRPr="00B67ACC" w:rsidRDefault="00B02841" w:rsidP="00A33868">
            <w:pPr>
              <w:shd w:val="clear" w:color="auto" w:fill="FFFFFF"/>
              <w:spacing w:line="360" w:lineRule="atLeast"/>
            </w:pPr>
            <w:r w:rsidRPr="00B67ACC">
              <w:rPr>
                <w:color w:val="000000"/>
              </w:rPr>
              <w:t xml:space="preserve">From 7.30pm AEDT on </w:t>
            </w:r>
            <w:r w:rsidRPr="00B67ACC">
              <w:rPr>
                <w:color w:val="000000"/>
                <w:u w:val="single"/>
              </w:rPr>
              <w:t>6 October 2020 until 30 June 2022</w:t>
            </w:r>
            <w:r w:rsidRPr="00B67ACC">
              <w:rPr>
                <w:color w:val="000000"/>
              </w:rPr>
              <w:t>, temporary full expensing allows a deduction for:</w:t>
            </w:r>
          </w:p>
        </w:tc>
        <w:tc>
          <w:tcPr>
            <w:tcW w:w="1356" w:type="dxa"/>
          </w:tcPr>
          <w:p w14:paraId="688A4744" w14:textId="77777777" w:rsidR="00B02841" w:rsidRPr="00B67ACC" w:rsidRDefault="00B02841" w:rsidP="00A33868">
            <w:pPr>
              <w:shd w:val="clear" w:color="auto" w:fill="FFFFFF"/>
              <w:spacing w:line="360" w:lineRule="atLeast"/>
              <w:cnfStyle w:val="000000100000" w:firstRow="0" w:lastRow="0" w:firstColumn="0" w:lastColumn="0" w:oddVBand="0" w:evenVBand="0" w:oddHBand="1" w:evenHBand="0" w:firstRowFirstColumn="0" w:firstRowLastColumn="0" w:lastRowFirstColumn="0" w:lastRowLastColumn="0"/>
              <w:rPr>
                <w:color w:val="000000"/>
              </w:rPr>
            </w:pPr>
          </w:p>
        </w:tc>
        <w:tc>
          <w:tcPr>
            <w:tcW w:w="4508" w:type="dxa"/>
          </w:tcPr>
          <w:p w14:paraId="67C1518B" w14:textId="77777777" w:rsidR="00B02841" w:rsidRPr="00B67ACC" w:rsidRDefault="00B02841" w:rsidP="00A33868">
            <w:pPr>
              <w:shd w:val="clear" w:color="auto" w:fill="FFFFFF"/>
              <w:spacing w:line="360" w:lineRule="atLeast"/>
              <w:cnfStyle w:val="000000100000" w:firstRow="0" w:lastRow="0" w:firstColumn="0" w:lastColumn="0" w:oddVBand="0" w:evenVBand="0" w:oddHBand="1" w:evenHBand="0" w:firstRowFirstColumn="0" w:firstRowLastColumn="0" w:lastRowFirstColumn="0" w:lastRowLastColumn="0"/>
              <w:rPr>
                <w:color w:val="000000"/>
              </w:rPr>
            </w:pPr>
          </w:p>
        </w:tc>
      </w:tr>
      <w:tr w:rsidR="00B02841" w:rsidRPr="00B67ACC" w14:paraId="49279621" w14:textId="7E621F14" w:rsidTr="00A80986">
        <w:tc>
          <w:tcPr>
            <w:cnfStyle w:val="001000000000" w:firstRow="0" w:lastRow="0" w:firstColumn="1" w:lastColumn="0" w:oddVBand="0" w:evenVBand="0" w:oddHBand="0" w:evenHBand="0" w:firstRowFirstColumn="0" w:firstRowLastColumn="0" w:lastRowFirstColumn="0" w:lastRowLastColumn="0"/>
            <w:tcW w:w="8526" w:type="dxa"/>
          </w:tcPr>
          <w:p w14:paraId="61B3C8B4" w14:textId="77777777" w:rsidR="00B02841" w:rsidRPr="00B67ACC" w:rsidRDefault="00B02841" w:rsidP="00A33868">
            <w:pPr>
              <w:numPr>
                <w:ilvl w:val="0"/>
                <w:numId w:val="5"/>
              </w:numPr>
              <w:shd w:val="clear" w:color="auto" w:fill="FFFFFF"/>
              <w:rPr>
                <w:rFonts w:eastAsia="Times New Roman"/>
              </w:rPr>
            </w:pPr>
            <w:r w:rsidRPr="00B67ACC">
              <w:rPr>
                <w:rFonts w:eastAsia="Times New Roman"/>
                <w:color w:val="000000"/>
              </w:rPr>
              <w:t>the business portion of the cost of new eligible depreciating assets for businesses with an aggregated turnover under $5 billion or for corporate tax entities that satisfy the alternative test</w:t>
            </w:r>
          </w:p>
        </w:tc>
        <w:tc>
          <w:tcPr>
            <w:tcW w:w="1356" w:type="dxa"/>
          </w:tcPr>
          <w:p w14:paraId="06B050DB" w14:textId="77777777" w:rsidR="00B02841" w:rsidRPr="00B67ACC" w:rsidRDefault="00B02841" w:rsidP="00B67ACC">
            <w:pPr>
              <w:shd w:val="clear" w:color="auto" w:fill="FFFFFF"/>
              <w:ind w:left="720"/>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4508" w:type="dxa"/>
          </w:tcPr>
          <w:p w14:paraId="154F3D73" w14:textId="77777777" w:rsidR="00B02841" w:rsidRPr="00B67ACC" w:rsidRDefault="00B02841" w:rsidP="00B67ACC">
            <w:pPr>
              <w:shd w:val="clear" w:color="auto" w:fill="FFFFFF"/>
              <w:ind w:left="720"/>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B02841" w:rsidRPr="00B67ACC" w14:paraId="28925BF3" w14:textId="1BF52FEF"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EB749AE" w14:textId="77777777" w:rsidR="00B02841" w:rsidRPr="00B67ACC" w:rsidRDefault="00B02841" w:rsidP="00A33868">
            <w:pPr>
              <w:numPr>
                <w:ilvl w:val="0"/>
                <w:numId w:val="5"/>
              </w:numPr>
              <w:shd w:val="clear" w:color="auto" w:fill="FFFFFF"/>
              <w:rPr>
                <w:rFonts w:eastAsia="Times New Roman"/>
              </w:rPr>
            </w:pPr>
            <w:r w:rsidRPr="00B67ACC">
              <w:rPr>
                <w:rFonts w:eastAsia="Times New Roman"/>
                <w:color w:val="000000"/>
                <w:lang w:val="en-US"/>
              </w:rPr>
              <w:t>the business portion of the cost of eligible second-hand assets for businesses with an aggregated turnover under $50 million</w:t>
            </w:r>
          </w:p>
        </w:tc>
        <w:tc>
          <w:tcPr>
            <w:tcW w:w="1356" w:type="dxa"/>
          </w:tcPr>
          <w:p w14:paraId="5716947A" w14:textId="77777777" w:rsidR="00B02841" w:rsidRPr="00B67ACC" w:rsidRDefault="00B02841" w:rsidP="00B67ACC">
            <w:pPr>
              <w:shd w:val="clear" w:color="auto" w:fill="FFFFFF"/>
              <w:ind w:left="720"/>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p>
        </w:tc>
        <w:tc>
          <w:tcPr>
            <w:tcW w:w="4508" w:type="dxa"/>
          </w:tcPr>
          <w:p w14:paraId="283C9E6C" w14:textId="77777777" w:rsidR="00B02841" w:rsidRPr="00B67ACC" w:rsidRDefault="00B02841" w:rsidP="00B67ACC">
            <w:pPr>
              <w:shd w:val="clear" w:color="auto" w:fill="FFFFFF"/>
              <w:ind w:left="720"/>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p>
        </w:tc>
      </w:tr>
      <w:tr w:rsidR="00B02841" w:rsidRPr="00B67ACC" w14:paraId="1492AC57" w14:textId="38964A5C" w:rsidTr="00A80986">
        <w:tc>
          <w:tcPr>
            <w:cnfStyle w:val="001000000000" w:firstRow="0" w:lastRow="0" w:firstColumn="1" w:lastColumn="0" w:oddVBand="0" w:evenVBand="0" w:oddHBand="0" w:evenHBand="0" w:firstRowFirstColumn="0" w:firstRowLastColumn="0" w:lastRowFirstColumn="0" w:lastRowLastColumn="0"/>
            <w:tcW w:w="8526" w:type="dxa"/>
          </w:tcPr>
          <w:p w14:paraId="11DE348C" w14:textId="77777777" w:rsidR="00B02841" w:rsidRPr="00B67ACC" w:rsidRDefault="00B02841" w:rsidP="00A33868">
            <w:pPr>
              <w:numPr>
                <w:ilvl w:val="0"/>
                <w:numId w:val="5"/>
              </w:numPr>
              <w:shd w:val="clear" w:color="auto" w:fill="FFFFFF"/>
              <w:rPr>
                <w:rFonts w:eastAsia="Times New Roman"/>
              </w:rPr>
            </w:pPr>
            <w:r w:rsidRPr="00B67ACC">
              <w:rPr>
                <w:rFonts w:eastAsia="Times New Roman"/>
                <w:color w:val="000000"/>
                <w:lang w:val="en-US"/>
              </w:rPr>
              <w:t>the balance of a small business pool at the end of each income year in this period for businesses with an aggregated turnover under $10 million.</w:t>
            </w:r>
          </w:p>
        </w:tc>
        <w:tc>
          <w:tcPr>
            <w:tcW w:w="1356" w:type="dxa"/>
          </w:tcPr>
          <w:p w14:paraId="0CDF7F66" w14:textId="77777777" w:rsidR="00B02841" w:rsidRPr="00B67ACC" w:rsidRDefault="00B02841" w:rsidP="00B67ACC">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p>
        </w:tc>
        <w:tc>
          <w:tcPr>
            <w:tcW w:w="4508" w:type="dxa"/>
          </w:tcPr>
          <w:p w14:paraId="78AF7CF1" w14:textId="77777777" w:rsidR="00B02841" w:rsidRPr="00B67ACC" w:rsidRDefault="00B02841" w:rsidP="00B67ACC">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p>
        </w:tc>
      </w:tr>
      <w:tr w:rsidR="00B02841" w:rsidRPr="00B67ACC" w14:paraId="088E7876" w14:textId="7F591B5D"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9EA3209" w14:textId="77777777" w:rsidR="00B02841" w:rsidRPr="00B67ACC" w:rsidRDefault="00B02841" w:rsidP="00A33868">
            <w:pPr>
              <w:rPr>
                <w:b w:val="0"/>
                <w:bCs w:val="0"/>
                <w:lang w:val="en-US"/>
              </w:rPr>
            </w:pPr>
          </w:p>
        </w:tc>
        <w:tc>
          <w:tcPr>
            <w:tcW w:w="1356" w:type="dxa"/>
          </w:tcPr>
          <w:p w14:paraId="772B4A82"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187BBBB2"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66A24DF3" w14:textId="5DDC4759" w:rsidTr="00A80986">
        <w:tc>
          <w:tcPr>
            <w:cnfStyle w:val="001000000000" w:firstRow="0" w:lastRow="0" w:firstColumn="1" w:lastColumn="0" w:oddVBand="0" w:evenVBand="0" w:oddHBand="0" w:evenHBand="0" w:firstRowFirstColumn="0" w:firstRowLastColumn="0" w:lastRowFirstColumn="0" w:lastRowLastColumn="0"/>
            <w:tcW w:w="8526" w:type="dxa"/>
          </w:tcPr>
          <w:p w14:paraId="5CAFFDA3" w14:textId="77777777" w:rsidR="00B02841" w:rsidRPr="00B67ACC" w:rsidRDefault="00B02841" w:rsidP="00A33868">
            <w:pPr>
              <w:rPr>
                <w:b w:val="0"/>
                <w:bCs w:val="0"/>
                <w:lang w:val="en-US"/>
              </w:rPr>
            </w:pPr>
          </w:p>
        </w:tc>
        <w:tc>
          <w:tcPr>
            <w:tcW w:w="1356" w:type="dxa"/>
          </w:tcPr>
          <w:p w14:paraId="0491994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66A9F733"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28D7A83E" w14:textId="217D3F83"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B954727" w14:textId="5FD9920D" w:rsidR="00B02841" w:rsidRPr="00B67ACC" w:rsidRDefault="00B02841" w:rsidP="00A33868">
            <w:pPr>
              <w:rPr>
                <w:b w:val="0"/>
                <w:bCs w:val="0"/>
                <w:lang w:val="en-US"/>
              </w:rPr>
            </w:pPr>
            <w:r w:rsidRPr="00B67ACC">
              <w:rPr>
                <w:lang w:val="en-US"/>
              </w:rPr>
              <w:t>Loss Carry Back Tax Offset</w:t>
            </w:r>
          </w:p>
        </w:tc>
        <w:tc>
          <w:tcPr>
            <w:tcW w:w="1356" w:type="dxa"/>
          </w:tcPr>
          <w:p w14:paraId="43552496"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5CFA523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5982D85B" w14:textId="0A30E8B7" w:rsidTr="00A80986">
        <w:tc>
          <w:tcPr>
            <w:cnfStyle w:val="001000000000" w:firstRow="0" w:lastRow="0" w:firstColumn="1" w:lastColumn="0" w:oddVBand="0" w:evenVBand="0" w:oddHBand="0" w:evenHBand="0" w:firstRowFirstColumn="0" w:firstRowLastColumn="0" w:lastRowFirstColumn="0" w:lastRowLastColumn="0"/>
            <w:tcW w:w="8526" w:type="dxa"/>
          </w:tcPr>
          <w:p w14:paraId="745E1CC6" w14:textId="77777777" w:rsidR="00B02841" w:rsidRPr="00B67ACC" w:rsidRDefault="00B02841" w:rsidP="00A33868">
            <w:pPr>
              <w:rPr>
                <w:lang w:val="en-US"/>
              </w:rPr>
            </w:pPr>
            <w:r w:rsidRPr="00B67ACC">
              <w:rPr>
                <w:lang w:val="en-US"/>
              </w:rPr>
              <w:t xml:space="preserve">2021 is the first year the new loss </w:t>
            </w:r>
            <w:proofErr w:type="gramStart"/>
            <w:r w:rsidRPr="00B67ACC">
              <w:rPr>
                <w:lang w:val="en-US"/>
              </w:rPr>
              <w:t>carry</w:t>
            </w:r>
            <w:proofErr w:type="gramEnd"/>
            <w:r w:rsidRPr="00B67ACC">
              <w:rPr>
                <w:lang w:val="en-US"/>
              </w:rPr>
              <w:t xml:space="preserve"> back measures can be used to provide a refund to companies when they lodge their 2021 tax returns.</w:t>
            </w:r>
          </w:p>
        </w:tc>
        <w:tc>
          <w:tcPr>
            <w:tcW w:w="1356" w:type="dxa"/>
          </w:tcPr>
          <w:p w14:paraId="47D4D91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115C7B11"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6D5856FB" w14:textId="23E9F2B3"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BB301CA" w14:textId="77777777" w:rsidR="00B02841" w:rsidRPr="00B67ACC" w:rsidRDefault="00B02841" w:rsidP="00A33868">
            <w:pPr>
              <w:rPr>
                <w:lang w:val="en-US"/>
              </w:rPr>
            </w:pPr>
          </w:p>
        </w:tc>
        <w:tc>
          <w:tcPr>
            <w:tcW w:w="1356" w:type="dxa"/>
          </w:tcPr>
          <w:p w14:paraId="3F36071F"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6110875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38D7970B" w14:textId="52258F17" w:rsidTr="00A80986">
        <w:tc>
          <w:tcPr>
            <w:cnfStyle w:val="001000000000" w:firstRow="0" w:lastRow="0" w:firstColumn="1" w:lastColumn="0" w:oddVBand="0" w:evenVBand="0" w:oddHBand="0" w:evenHBand="0" w:firstRowFirstColumn="0" w:firstRowLastColumn="0" w:lastRowFirstColumn="0" w:lastRowLastColumn="0"/>
            <w:tcW w:w="8526" w:type="dxa"/>
          </w:tcPr>
          <w:p w14:paraId="710DC8A7" w14:textId="77777777" w:rsidR="00B02841" w:rsidRPr="00B67ACC" w:rsidRDefault="00B02841" w:rsidP="00A33868">
            <w:pPr>
              <w:rPr>
                <w:lang w:val="en-US"/>
              </w:rPr>
            </w:pPr>
            <w:r w:rsidRPr="00B67ACC">
              <w:rPr>
                <w:lang w:val="en-US"/>
              </w:rPr>
              <w:t xml:space="preserve">Companies with an aggregated turnover of less than $5 billion can choose to carry back </w:t>
            </w:r>
            <w:proofErr w:type="spellStart"/>
            <w:r w:rsidRPr="00B67ACC">
              <w:rPr>
                <w:lang w:val="en-US"/>
              </w:rPr>
              <w:t>their</w:t>
            </w:r>
            <w:proofErr w:type="spellEnd"/>
            <w:r w:rsidRPr="00B67ACC">
              <w:rPr>
                <w:lang w:val="en-US"/>
              </w:rPr>
              <w:t>:</w:t>
            </w:r>
          </w:p>
        </w:tc>
        <w:tc>
          <w:tcPr>
            <w:tcW w:w="1356" w:type="dxa"/>
          </w:tcPr>
          <w:p w14:paraId="47AE2FA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5EF47D1"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0B33D39B" w14:textId="47A2C3F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41CA5BE2" w14:textId="77777777" w:rsidR="00B02841" w:rsidRPr="00B67ACC" w:rsidRDefault="00B02841" w:rsidP="00A33868">
            <w:pPr>
              <w:pStyle w:val="ListParagraph"/>
              <w:numPr>
                <w:ilvl w:val="0"/>
                <w:numId w:val="6"/>
              </w:numPr>
              <w:rPr>
                <w:rFonts w:eastAsia="Times New Roman"/>
                <w:lang w:val="en-US"/>
              </w:rPr>
            </w:pPr>
            <w:r w:rsidRPr="00B67ACC">
              <w:rPr>
                <w:rFonts w:eastAsia="Times New Roman"/>
                <w:lang w:val="en-US"/>
              </w:rPr>
              <w:t xml:space="preserve">2020 tax losses and offset it against their 2019 income tax </w:t>
            </w:r>
            <w:proofErr w:type="gramStart"/>
            <w:r w:rsidRPr="00B67ACC">
              <w:rPr>
                <w:rFonts w:eastAsia="Times New Roman"/>
                <w:lang w:val="en-US"/>
              </w:rPr>
              <w:t>liability;</w:t>
            </w:r>
            <w:proofErr w:type="gramEnd"/>
            <w:r w:rsidRPr="00B67ACC">
              <w:rPr>
                <w:rFonts w:eastAsia="Times New Roman"/>
                <w:lang w:val="en-US"/>
              </w:rPr>
              <w:t xml:space="preserve"> or</w:t>
            </w:r>
          </w:p>
        </w:tc>
        <w:tc>
          <w:tcPr>
            <w:tcW w:w="1356" w:type="dxa"/>
          </w:tcPr>
          <w:p w14:paraId="2BEE9CE9"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lang w:val="en-US"/>
              </w:rPr>
            </w:pPr>
          </w:p>
        </w:tc>
        <w:tc>
          <w:tcPr>
            <w:tcW w:w="4508" w:type="dxa"/>
          </w:tcPr>
          <w:p w14:paraId="4A44A68F"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lang w:val="en-US"/>
              </w:rPr>
            </w:pPr>
          </w:p>
        </w:tc>
      </w:tr>
      <w:tr w:rsidR="00B02841" w:rsidRPr="00B67ACC" w14:paraId="4AA6949E" w14:textId="46B68EE5" w:rsidTr="00A80986">
        <w:tc>
          <w:tcPr>
            <w:cnfStyle w:val="001000000000" w:firstRow="0" w:lastRow="0" w:firstColumn="1" w:lastColumn="0" w:oddVBand="0" w:evenVBand="0" w:oddHBand="0" w:evenHBand="0" w:firstRowFirstColumn="0" w:firstRowLastColumn="0" w:lastRowFirstColumn="0" w:lastRowLastColumn="0"/>
            <w:tcW w:w="8526" w:type="dxa"/>
          </w:tcPr>
          <w:p w14:paraId="5E49A75D" w14:textId="77777777" w:rsidR="00B02841" w:rsidRPr="00B67ACC" w:rsidRDefault="00B02841" w:rsidP="00A33868">
            <w:pPr>
              <w:pStyle w:val="ListParagraph"/>
              <w:numPr>
                <w:ilvl w:val="0"/>
                <w:numId w:val="6"/>
              </w:numPr>
              <w:rPr>
                <w:rFonts w:eastAsia="Times New Roman"/>
                <w:lang w:val="en-US"/>
              </w:rPr>
            </w:pPr>
            <w:r w:rsidRPr="00B67ACC">
              <w:rPr>
                <w:rFonts w:eastAsia="Times New Roman"/>
                <w:lang w:val="en-US"/>
              </w:rPr>
              <w:lastRenderedPageBreak/>
              <w:t xml:space="preserve">2021 tax losses and offset it against their </w:t>
            </w:r>
            <w:proofErr w:type="gramStart"/>
            <w:r w:rsidRPr="00B67ACC">
              <w:rPr>
                <w:rFonts w:eastAsia="Times New Roman"/>
                <w:lang w:val="en-US"/>
              </w:rPr>
              <w:t>2019 and 2020 income</w:t>
            </w:r>
            <w:proofErr w:type="gramEnd"/>
            <w:r w:rsidRPr="00B67ACC">
              <w:rPr>
                <w:rFonts w:eastAsia="Times New Roman"/>
                <w:lang w:val="en-US"/>
              </w:rPr>
              <w:t xml:space="preserve"> tax liability, noting the amount of refund/offset is limited to the lesser of the amount of tax paid previously or the surplus in the franking credit account as of 30 June 2021.</w:t>
            </w:r>
          </w:p>
        </w:tc>
        <w:tc>
          <w:tcPr>
            <w:tcW w:w="1356" w:type="dxa"/>
          </w:tcPr>
          <w:p w14:paraId="1DB189A2"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lang w:val="en-US"/>
              </w:rPr>
            </w:pPr>
          </w:p>
        </w:tc>
        <w:tc>
          <w:tcPr>
            <w:tcW w:w="4508" w:type="dxa"/>
          </w:tcPr>
          <w:p w14:paraId="6494C3F3"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lang w:val="en-US"/>
              </w:rPr>
            </w:pPr>
          </w:p>
        </w:tc>
      </w:tr>
      <w:tr w:rsidR="00B02841" w:rsidRPr="00B67ACC" w14:paraId="6972DDCF" w14:textId="3A2E3C89"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3A05892" w14:textId="77777777" w:rsidR="00B02841" w:rsidRPr="00B67ACC" w:rsidRDefault="00B02841" w:rsidP="00A33868">
            <w:pPr>
              <w:rPr>
                <w:b w:val="0"/>
                <w:bCs w:val="0"/>
                <w:lang w:val="en-US"/>
              </w:rPr>
            </w:pPr>
            <w:r w:rsidRPr="00B67ACC">
              <w:rPr>
                <w:lang w:val="en-US"/>
              </w:rPr>
              <w:t>If no choice is made to use the loss carry-back measures, the loss is carried forward and can be offset against future profits provided either the continuity of ownership or similar business tests are met.</w:t>
            </w:r>
          </w:p>
        </w:tc>
        <w:tc>
          <w:tcPr>
            <w:tcW w:w="1356" w:type="dxa"/>
          </w:tcPr>
          <w:p w14:paraId="11C5A1C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1AD525E5"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D6D1FE1" w14:textId="7E1B78A9" w:rsidTr="00A80986">
        <w:tc>
          <w:tcPr>
            <w:cnfStyle w:val="001000000000" w:firstRow="0" w:lastRow="0" w:firstColumn="1" w:lastColumn="0" w:oddVBand="0" w:evenVBand="0" w:oddHBand="0" w:evenHBand="0" w:firstRowFirstColumn="0" w:firstRowLastColumn="0" w:lastRowFirstColumn="0" w:lastRowLastColumn="0"/>
            <w:tcW w:w="8526" w:type="dxa"/>
          </w:tcPr>
          <w:p w14:paraId="76B4494E" w14:textId="77777777" w:rsidR="00B02841" w:rsidRPr="00B67ACC" w:rsidRDefault="00B02841" w:rsidP="00A33868">
            <w:pPr>
              <w:rPr>
                <w:b w:val="0"/>
                <w:bCs w:val="0"/>
                <w:lang w:val="en-US"/>
              </w:rPr>
            </w:pPr>
          </w:p>
        </w:tc>
        <w:tc>
          <w:tcPr>
            <w:tcW w:w="1356" w:type="dxa"/>
          </w:tcPr>
          <w:p w14:paraId="7027D920"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7EF0ED9E"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1798ADA5" w14:textId="7BD8BAE9"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E6D0654" w14:textId="77777777" w:rsidR="00B02841" w:rsidRPr="00B67ACC" w:rsidRDefault="00B02841" w:rsidP="00A33868">
            <w:pPr>
              <w:rPr>
                <w:b w:val="0"/>
                <w:bCs w:val="0"/>
                <w:lang w:val="en-US"/>
              </w:rPr>
            </w:pPr>
          </w:p>
        </w:tc>
        <w:tc>
          <w:tcPr>
            <w:tcW w:w="1356" w:type="dxa"/>
          </w:tcPr>
          <w:p w14:paraId="71FF67E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448767D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56937304" w14:textId="19A886CB" w:rsidTr="00A80986">
        <w:tc>
          <w:tcPr>
            <w:cnfStyle w:val="001000000000" w:firstRow="0" w:lastRow="0" w:firstColumn="1" w:lastColumn="0" w:oddVBand="0" w:evenVBand="0" w:oddHBand="0" w:evenHBand="0" w:firstRowFirstColumn="0" w:firstRowLastColumn="0" w:lastRowFirstColumn="0" w:lastRowLastColumn="0"/>
            <w:tcW w:w="8526" w:type="dxa"/>
          </w:tcPr>
          <w:p w14:paraId="574A4059" w14:textId="77777777" w:rsidR="00B02841" w:rsidRPr="00B67ACC" w:rsidRDefault="00B02841" w:rsidP="00A33868">
            <w:pPr>
              <w:rPr>
                <w:b w:val="0"/>
                <w:bCs w:val="0"/>
                <w:lang w:val="en-US"/>
              </w:rPr>
            </w:pPr>
            <w:r w:rsidRPr="00B67ACC">
              <w:rPr>
                <w:lang w:val="en-US"/>
              </w:rPr>
              <w:t>Personal Services Income (PSI)/Personal Services Business (PSB) and General Anti Avoidance Rule</w:t>
            </w:r>
          </w:p>
        </w:tc>
        <w:tc>
          <w:tcPr>
            <w:tcW w:w="1356" w:type="dxa"/>
          </w:tcPr>
          <w:p w14:paraId="76565CBA"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7147D6B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14AFD345" w14:textId="6C05E4F4"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1B054BD" w14:textId="77777777" w:rsidR="00B02841" w:rsidRPr="00B67ACC" w:rsidRDefault="00B02841" w:rsidP="00A33868">
            <w:pPr>
              <w:rPr>
                <w:lang w:val="en-US"/>
              </w:rPr>
            </w:pPr>
            <w:r w:rsidRPr="00B67ACC">
              <w:rPr>
                <w:lang w:val="en-US"/>
              </w:rPr>
              <w:t xml:space="preserve">The PSI rules were introduced to prevent the shifting or splitting of income with other individuals or entities </w:t>
            </w:r>
            <w:proofErr w:type="gramStart"/>
            <w:r w:rsidRPr="00B67ACC">
              <w:rPr>
                <w:lang w:val="en-US"/>
              </w:rPr>
              <w:t>in an attempt to</w:t>
            </w:r>
            <w:proofErr w:type="gramEnd"/>
            <w:r w:rsidRPr="00B67ACC">
              <w:rPr>
                <w:lang w:val="en-US"/>
              </w:rPr>
              <w:t xml:space="preserve"> pay less tax. This strategy is known as the alienation of PSI. </w:t>
            </w:r>
          </w:p>
        </w:tc>
        <w:tc>
          <w:tcPr>
            <w:tcW w:w="1356" w:type="dxa"/>
          </w:tcPr>
          <w:p w14:paraId="5936C3E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392D4BD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58376E83" w14:textId="19C26F6A" w:rsidTr="00A80986">
        <w:tc>
          <w:tcPr>
            <w:cnfStyle w:val="001000000000" w:firstRow="0" w:lastRow="0" w:firstColumn="1" w:lastColumn="0" w:oddVBand="0" w:evenVBand="0" w:oddHBand="0" w:evenHBand="0" w:firstRowFirstColumn="0" w:firstRowLastColumn="0" w:lastRowFirstColumn="0" w:lastRowLastColumn="0"/>
            <w:tcW w:w="8526" w:type="dxa"/>
          </w:tcPr>
          <w:p w14:paraId="3848B43E" w14:textId="77777777" w:rsidR="00B02841" w:rsidRPr="00B67ACC" w:rsidRDefault="00B02841" w:rsidP="00A33868">
            <w:pPr>
              <w:rPr>
                <w:lang w:val="en-US"/>
              </w:rPr>
            </w:pPr>
            <w:r w:rsidRPr="00B67ACC">
              <w:rPr>
                <w:lang w:val="en-US"/>
              </w:rPr>
              <w:t>If you have arrangements where your PSI is alienated and is taxed at a lower rate than if you had received the income yourself, you may trigger the general anti-avoidance rules (GAAR).</w:t>
            </w:r>
          </w:p>
        </w:tc>
        <w:tc>
          <w:tcPr>
            <w:tcW w:w="1356" w:type="dxa"/>
          </w:tcPr>
          <w:p w14:paraId="16184502"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5338EADB"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0A99929E" w14:textId="4996B9FC"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1977613" w14:textId="77777777" w:rsidR="00B02841" w:rsidRPr="00B67ACC" w:rsidRDefault="00B02841" w:rsidP="00A33868">
            <w:pPr>
              <w:rPr>
                <w:b w:val="0"/>
                <w:bCs w:val="0"/>
                <w:lang w:val="en-US"/>
              </w:rPr>
            </w:pPr>
          </w:p>
        </w:tc>
        <w:tc>
          <w:tcPr>
            <w:tcW w:w="1356" w:type="dxa"/>
          </w:tcPr>
          <w:p w14:paraId="1A8DB7EC"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3669DE00"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00E5CF53" w14:textId="16767D98" w:rsidTr="00A80986">
        <w:tc>
          <w:tcPr>
            <w:cnfStyle w:val="001000000000" w:firstRow="0" w:lastRow="0" w:firstColumn="1" w:lastColumn="0" w:oddVBand="0" w:evenVBand="0" w:oddHBand="0" w:evenHBand="0" w:firstRowFirstColumn="0" w:firstRowLastColumn="0" w:lastRowFirstColumn="0" w:lastRowLastColumn="0"/>
            <w:tcW w:w="8526" w:type="dxa"/>
          </w:tcPr>
          <w:p w14:paraId="409A7776" w14:textId="77777777" w:rsidR="00B02841" w:rsidRPr="00B67ACC" w:rsidRDefault="00B02841" w:rsidP="00A33868">
            <w:pPr>
              <w:rPr>
                <w:b w:val="0"/>
                <w:bCs w:val="0"/>
                <w:lang w:val="en-US"/>
              </w:rPr>
            </w:pPr>
          </w:p>
        </w:tc>
        <w:tc>
          <w:tcPr>
            <w:tcW w:w="1356" w:type="dxa"/>
          </w:tcPr>
          <w:p w14:paraId="1FEF6B1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5ABCF0A8"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7D64F40A" w14:textId="1D693EF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B4F5462" w14:textId="77777777" w:rsidR="00B02841" w:rsidRPr="00B67ACC" w:rsidRDefault="00B02841" w:rsidP="00A33868">
            <w:pPr>
              <w:rPr>
                <w:b w:val="0"/>
                <w:bCs w:val="0"/>
                <w:lang w:val="en-US"/>
              </w:rPr>
            </w:pPr>
            <w:r w:rsidRPr="00B67ACC">
              <w:rPr>
                <w:lang w:val="en-US"/>
              </w:rPr>
              <w:t>Trustee Resolutions</w:t>
            </w:r>
          </w:p>
        </w:tc>
        <w:tc>
          <w:tcPr>
            <w:tcW w:w="1356" w:type="dxa"/>
          </w:tcPr>
          <w:p w14:paraId="20FB0F88"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69A14CB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1BE28AED" w14:textId="6C08F127" w:rsidTr="00A80986">
        <w:tc>
          <w:tcPr>
            <w:cnfStyle w:val="001000000000" w:firstRow="0" w:lastRow="0" w:firstColumn="1" w:lastColumn="0" w:oddVBand="0" w:evenVBand="0" w:oddHBand="0" w:evenHBand="0" w:firstRowFirstColumn="0" w:firstRowLastColumn="0" w:lastRowFirstColumn="0" w:lastRowLastColumn="0"/>
            <w:tcW w:w="8526" w:type="dxa"/>
          </w:tcPr>
          <w:p w14:paraId="24F31111" w14:textId="77777777" w:rsidR="00B02841" w:rsidRPr="00B67ACC" w:rsidRDefault="00B02841" w:rsidP="00A33868">
            <w:pPr>
              <w:rPr>
                <w:lang w:val="en-US"/>
              </w:rPr>
            </w:pPr>
            <w:r w:rsidRPr="00B67ACC">
              <w:rPr>
                <w:lang w:val="en-US"/>
              </w:rPr>
              <w:t>This is specific to businesses that operate in a Discretionary Trust (Family Trust).</w:t>
            </w:r>
          </w:p>
        </w:tc>
        <w:tc>
          <w:tcPr>
            <w:tcW w:w="1356" w:type="dxa"/>
          </w:tcPr>
          <w:p w14:paraId="53C0A83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2E185BDB"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3F8B42D3" w14:textId="7788AF9B"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CF86017" w14:textId="77777777" w:rsidR="00B02841" w:rsidRPr="00B67ACC" w:rsidRDefault="00B02841" w:rsidP="00A33868">
            <w:pPr>
              <w:rPr>
                <w:lang w:val="en-US"/>
              </w:rPr>
            </w:pPr>
          </w:p>
        </w:tc>
        <w:tc>
          <w:tcPr>
            <w:tcW w:w="1356" w:type="dxa"/>
          </w:tcPr>
          <w:p w14:paraId="5DF7F24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1C5BF59"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041A151E" w14:textId="2A4AA4DB" w:rsidTr="00A80986">
        <w:tc>
          <w:tcPr>
            <w:cnfStyle w:val="001000000000" w:firstRow="0" w:lastRow="0" w:firstColumn="1" w:lastColumn="0" w:oddVBand="0" w:evenVBand="0" w:oddHBand="0" w:evenHBand="0" w:firstRowFirstColumn="0" w:firstRowLastColumn="0" w:lastRowFirstColumn="0" w:lastRowLastColumn="0"/>
            <w:tcW w:w="8526" w:type="dxa"/>
          </w:tcPr>
          <w:p w14:paraId="5C8F64C7" w14:textId="77777777" w:rsidR="00B02841" w:rsidRPr="00B67ACC" w:rsidRDefault="00B02841" w:rsidP="00A33868">
            <w:pPr>
              <w:rPr>
                <w:lang w:val="en-US"/>
              </w:rPr>
            </w:pPr>
            <w:r w:rsidRPr="00B67ACC">
              <w:rPr>
                <w:lang w:val="en-US"/>
              </w:rPr>
              <w:t xml:space="preserve">The trustee of a non-fixed trust should document the exercise of any discretion regarding distributions of trust income by 30 June 2021 (or any earlier date required under the trust deed) to ensure that beneficiaries are presently entitled to all trust income and therefore ensure that the trustee will not be potentially subject to tax at a penalty rate of 47% in respect of trust income to which no beneficiary has been made presently entitled. </w:t>
            </w:r>
          </w:p>
        </w:tc>
        <w:tc>
          <w:tcPr>
            <w:tcW w:w="1356" w:type="dxa"/>
          </w:tcPr>
          <w:p w14:paraId="6DD2E9A6"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CA33224"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0B992F5" w14:textId="6BC7349D"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7A8C5CF" w14:textId="77777777" w:rsidR="00B02841" w:rsidRPr="00B67ACC" w:rsidRDefault="00B02841" w:rsidP="00A33868">
            <w:pPr>
              <w:rPr>
                <w:lang w:val="en-US"/>
              </w:rPr>
            </w:pPr>
          </w:p>
        </w:tc>
        <w:tc>
          <w:tcPr>
            <w:tcW w:w="1356" w:type="dxa"/>
          </w:tcPr>
          <w:p w14:paraId="5A962DE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43A6B50"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4CA87A4" w14:textId="6033B4B3" w:rsidTr="00A80986">
        <w:tc>
          <w:tcPr>
            <w:cnfStyle w:val="001000000000" w:firstRow="0" w:lastRow="0" w:firstColumn="1" w:lastColumn="0" w:oddVBand="0" w:evenVBand="0" w:oddHBand="0" w:evenHBand="0" w:firstRowFirstColumn="0" w:firstRowLastColumn="0" w:lastRowFirstColumn="0" w:lastRowLastColumn="0"/>
            <w:tcW w:w="8526" w:type="dxa"/>
          </w:tcPr>
          <w:p w14:paraId="0A47851E" w14:textId="77777777" w:rsidR="00B02841" w:rsidRPr="00B67ACC" w:rsidRDefault="00B02841" w:rsidP="00A33868">
            <w:pPr>
              <w:rPr>
                <w:lang w:val="en-US"/>
              </w:rPr>
            </w:pPr>
            <w:r w:rsidRPr="00B67ACC">
              <w:rPr>
                <w:lang w:val="en-US"/>
              </w:rPr>
              <w:t>Such distributions should be made in accordance with the definition of trust income set out in the relevant trust deed. Prior to making such beneficiaries present entitled it may also be prudent for the trustee to determine whether any beneficiaries should be made specifically entitled to capital gains or franked dividends from a tax planning perspective with the balance of trust income being distributed to presently entitled beneficiaries. Care should be taken to ensure that any exercise of the trustee’s discretion to make beneficiaries specifically entitled to such amounts is permitted under the trust deed and satisfies all the requirements imposed under the tax law.</w:t>
            </w:r>
          </w:p>
        </w:tc>
        <w:tc>
          <w:tcPr>
            <w:tcW w:w="1356" w:type="dxa"/>
          </w:tcPr>
          <w:p w14:paraId="75CD2BE9"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3AA832A9"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7E212717" w14:textId="61AC4BFE"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8C2A42E" w14:textId="77777777" w:rsidR="00B02841" w:rsidRPr="00B67ACC" w:rsidRDefault="00B02841" w:rsidP="00A33868">
            <w:pPr>
              <w:rPr>
                <w:lang w:val="en-US"/>
              </w:rPr>
            </w:pPr>
          </w:p>
        </w:tc>
        <w:tc>
          <w:tcPr>
            <w:tcW w:w="1356" w:type="dxa"/>
          </w:tcPr>
          <w:p w14:paraId="225E1012"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29EC3DDF"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89B8E25" w14:textId="670E4B62" w:rsidTr="00A80986">
        <w:tc>
          <w:tcPr>
            <w:cnfStyle w:val="001000000000" w:firstRow="0" w:lastRow="0" w:firstColumn="1" w:lastColumn="0" w:oddVBand="0" w:evenVBand="0" w:oddHBand="0" w:evenHBand="0" w:firstRowFirstColumn="0" w:firstRowLastColumn="0" w:lastRowFirstColumn="0" w:lastRowLastColumn="0"/>
            <w:tcW w:w="8526" w:type="dxa"/>
          </w:tcPr>
          <w:p w14:paraId="58E587E7" w14:textId="77777777" w:rsidR="00B02841" w:rsidRPr="00B67ACC" w:rsidRDefault="00B02841" w:rsidP="00A33868">
            <w:pPr>
              <w:rPr>
                <w:lang w:val="en-US"/>
              </w:rPr>
            </w:pPr>
            <w:r w:rsidRPr="00B67ACC">
              <w:rPr>
                <w:lang w:val="en-US"/>
              </w:rPr>
              <w:lastRenderedPageBreak/>
              <w:t xml:space="preserve">Carefully consider which beneficiaries should receive distributions from your trust this year and how much those distributions should be. While the tax effectiveness of the distributions is an important consideration, broader aspects such as asset protection and the impact on other payments a beneficiary may be receiving should not be overlooked. For example, a beneficiary receiving </w:t>
            </w:r>
            <w:proofErr w:type="spellStart"/>
            <w:r w:rsidRPr="00B67ACC">
              <w:rPr>
                <w:lang w:val="en-US"/>
              </w:rPr>
              <w:t>JobSeeker</w:t>
            </w:r>
            <w:proofErr w:type="spellEnd"/>
            <w:r w:rsidRPr="00B67ACC">
              <w:rPr>
                <w:lang w:val="en-US"/>
              </w:rPr>
              <w:t xml:space="preserve"> payment may lose their entitlement to that payment depending on the amount of trust distributions they receive this year.</w:t>
            </w:r>
          </w:p>
        </w:tc>
        <w:tc>
          <w:tcPr>
            <w:tcW w:w="1356" w:type="dxa"/>
          </w:tcPr>
          <w:p w14:paraId="16D8A49A"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2A6ED15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A0450BA" w14:textId="78627954"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2A90A7F" w14:textId="77777777" w:rsidR="00B02841" w:rsidRPr="00B67ACC" w:rsidRDefault="00B02841" w:rsidP="00A33868">
            <w:pPr>
              <w:rPr>
                <w:lang w:val="en-US"/>
              </w:rPr>
            </w:pPr>
          </w:p>
        </w:tc>
        <w:tc>
          <w:tcPr>
            <w:tcW w:w="1356" w:type="dxa"/>
          </w:tcPr>
          <w:p w14:paraId="052360C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74D59395"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5E32E7F3" w14:textId="408BB5F0" w:rsidTr="00A80986">
        <w:tc>
          <w:tcPr>
            <w:cnfStyle w:val="001000000000" w:firstRow="0" w:lastRow="0" w:firstColumn="1" w:lastColumn="0" w:oddVBand="0" w:evenVBand="0" w:oddHBand="0" w:evenHBand="0" w:firstRowFirstColumn="0" w:firstRowLastColumn="0" w:lastRowFirstColumn="0" w:lastRowLastColumn="0"/>
            <w:tcW w:w="8526" w:type="dxa"/>
          </w:tcPr>
          <w:p w14:paraId="0299B7F5" w14:textId="77777777" w:rsidR="00B02841" w:rsidRPr="00B67ACC" w:rsidRDefault="00B02841" w:rsidP="00A33868">
            <w:pPr>
              <w:rPr>
                <w:b w:val="0"/>
                <w:bCs w:val="0"/>
                <w:lang w:val="en-US"/>
              </w:rPr>
            </w:pPr>
          </w:p>
        </w:tc>
        <w:tc>
          <w:tcPr>
            <w:tcW w:w="1356" w:type="dxa"/>
          </w:tcPr>
          <w:p w14:paraId="126B0C70"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4ACF86F0"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340F46D8" w14:textId="16787B5C"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1F94D17" w14:textId="77777777" w:rsidR="00B02841" w:rsidRPr="00B67ACC" w:rsidRDefault="00B02841" w:rsidP="00A33868">
            <w:pPr>
              <w:rPr>
                <w:b w:val="0"/>
                <w:bCs w:val="0"/>
                <w:lang w:val="en-US"/>
              </w:rPr>
            </w:pPr>
            <w:r w:rsidRPr="00B67ACC">
              <w:rPr>
                <w:lang w:val="en-US"/>
              </w:rPr>
              <w:t>Division 7A – Shareholder Loans</w:t>
            </w:r>
          </w:p>
        </w:tc>
        <w:tc>
          <w:tcPr>
            <w:tcW w:w="1356" w:type="dxa"/>
          </w:tcPr>
          <w:p w14:paraId="467B7C0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2721278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1042E4BB" w14:textId="3DF72FBA" w:rsidTr="00A80986">
        <w:tc>
          <w:tcPr>
            <w:cnfStyle w:val="001000000000" w:firstRow="0" w:lastRow="0" w:firstColumn="1" w:lastColumn="0" w:oddVBand="0" w:evenVBand="0" w:oddHBand="0" w:evenHBand="0" w:firstRowFirstColumn="0" w:firstRowLastColumn="0" w:lastRowFirstColumn="0" w:lastRowLastColumn="0"/>
            <w:tcW w:w="8526" w:type="dxa"/>
          </w:tcPr>
          <w:p w14:paraId="491D9DFE" w14:textId="77777777" w:rsidR="00B02841" w:rsidRPr="00B67ACC" w:rsidRDefault="00B02841" w:rsidP="00A33868">
            <w:pPr>
              <w:rPr>
                <w:lang w:val="en-US"/>
              </w:rPr>
            </w:pPr>
            <w:r w:rsidRPr="00B67ACC">
              <w:rPr>
                <w:lang w:val="en-US"/>
              </w:rPr>
              <w:t>The ATO is continuing to put pressure on Shareholder Loans.</w:t>
            </w:r>
          </w:p>
        </w:tc>
        <w:tc>
          <w:tcPr>
            <w:tcW w:w="1356" w:type="dxa"/>
          </w:tcPr>
          <w:p w14:paraId="1B33094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EEED4C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46B56CA3" w14:textId="3B669B55"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14D8A09" w14:textId="77777777" w:rsidR="00B02841" w:rsidRPr="00B67ACC" w:rsidRDefault="00B02841" w:rsidP="00A33868">
            <w:pPr>
              <w:rPr>
                <w:lang w:val="en-US"/>
              </w:rPr>
            </w:pPr>
          </w:p>
        </w:tc>
        <w:tc>
          <w:tcPr>
            <w:tcW w:w="1356" w:type="dxa"/>
          </w:tcPr>
          <w:p w14:paraId="219E8C09"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6A61E41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084ECD67" w14:textId="4877585C" w:rsidTr="00A80986">
        <w:tc>
          <w:tcPr>
            <w:cnfStyle w:val="001000000000" w:firstRow="0" w:lastRow="0" w:firstColumn="1" w:lastColumn="0" w:oddVBand="0" w:evenVBand="0" w:oddHBand="0" w:evenHBand="0" w:firstRowFirstColumn="0" w:firstRowLastColumn="0" w:lastRowFirstColumn="0" w:lastRowLastColumn="0"/>
            <w:tcW w:w="8526" w:type="dxa"/>
          </w:tcPr>
          <w:p w14:paraId="39157C50" w14:textId="77777777" w:rsidR="00B02841" w:rsidRPr="00B67ACC" w:rsidRDefault="00B02841" w:rsidP="00A33868">
            <w:pPr>
              <w:rPr>
                <w:lang w:val="en-US"/>
              </w:rPr>
            </w:pPr>
            <w:r w:rsidRPr="00B67ACC">
              <w:rPr>
                <w:lang w:val="en-US"/>
              </w:rPr>
              <w:t xml:space="preserve">It is essential to determine whether any payments, loans or debt forgiveness made by a private company to a shareholder (or an associate of a shareholder) have been made during the year ended 30 June 2021. Where this has occurred during the year it should be determined whether any exemptions potentially apply, and if not, what strategies could be employed to ensure that a deemed dividend does not arise in the 2021 year in respect of any such payment, </w:t>
            </w:r>
            <w:proofErr w:type="gramStart"/>
            <w:r w:rsidRPr="00B67ACC">
              <w:rPr>
                <w:lang w:val="en-US"/>
              </w:rPr>
              <w:t>loan</w:t>
            </w:r>
            <w:proofErr w:type="gramEnd"/>
            <w:r w:rsidRPr="00B67ACC">
              <w:rPr>
                <w:lang w:val="en-US"/>
              </w:rPr>
              <w:t xml:space="preserve"> or debt forgiveness. </w:t>
            </w:r>
          </w:p>
        </w:tc>
        <w:tc>
          <w:tcPr>
            <w:tcW w:w="1356" w:type="dxa"/>
          </w:tcPr>
          <w:p w14:paraId="6EC0B814"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2585A8C0"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45B188A0" w14:textId="13A793BC"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22A8EB5" w14:textId="77777777" w:rsidR="00B02841" w:rsidRPr="00B67ACC" w:rsidRDefault="00B02841" w:rsidP="00A33868">
            <w:pPr>
              <w:rPr>
                <w:lang w:val="en-US"/>
              </w:rPr>
            </w:pPr>
          </w:p>
        </w:tc>
        <w:tc>
          <w:tcPr>
            <w:tcW w:w="1356" w:type="dxa"/>
          </w:tcPr>
          <w:p w14:paraId="529DE309"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1EDB5FCD"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30150B63" w14:textId="60F70068" w:rsidTr="00A80986">
        <w:tc>
          <w:tcPr>
            <w:cnfStyle w:val="001000000000" w:firstRow="0" w:lastRow="0" w:firstColumn="1" w:lastColumn="0" w:oddVBand="0" w:evenVBand="0" w:oddHBand="0" w:evenHBand="0" w:firstRowFirstColumn="0" w:firstRowLastColumn="0" w:lastRowFirstColumn="0" w:lastRowLastColumn="0"/>
            <w:tcW w:w="8526" w:type="dxa"/>
          </w:tcPr>
          <w:p w14:paraId="46D337EB" w14:textId="77777777" w:rsidR="00B02841" w:rsidRPr="00B67ACC" w:rsidRDefault="00B02841" w:rsidP="00A33868">
            <w:pPr>
              <w:rPr>
                <w:lang w:val="en-US"/>
              </w:rPr>
            </w:pPr>
            <w:r w:rsidRPr="00B67ACC">
              <w:rPr>
                <w:lang w:val="en-US"/>
              </w:rPr>
              <w:t xml:space="preserve">It is particularly important to </w:t>
            </w:r>
            <w:proofErr w:type="spellStart"/>
            <w:r w:rsidRPr="00B67ACC">
              <w:rPr>
                <w:lang w:val="en-US"/>
              </w:rPr>
              <w:t>recognise</w:t>
            </w:r>
            <w:proofErr w:type="spellEnd"/>
            <w:r w:rsidRPr="00B67ACC">
              <w:rPr>
                <w:lang w:val="en-US"/>
              </w:rPr>
              <w:t xml:space="preserve"> that an unpaid present entitlement which is owed by a trust to a related private company beneficiary who effectively lends those funds back to the associated trust will be treated as a loan for the purposes of Division 7A of the ITAA 1936.   </w:t>
            </w:r>
          </w:p>
        </w:tc>
        <w:tc>
          <w:tcPr>
            <w:tcW w:w="1356" w:type="dxa"/>
          </w:tcPr>
          <w:p w14:paraId="57A736D7"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7ED773D0"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0DA2747A" w14:textId="2A82F131"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3262A6B6" w14:textId="77777777" w:rsidR="00B02841" w:rsidRPr="00B67ACC" w:rsidRDefault="00B02841" w:rsidP="00A33868">
            <w:pPr>
              <w:rPr>
                <w:lang w:val="en-US"/>
              </w:rPr>
            </w:pPr>
          </w:p>
        </w:tc>
        <w:tc>
          <w:tcPr>
            <w:tcW w:w="1356" w:type="dxa"/>
          </w:tcPr>
          <w:p w14:paraId="3D45C5A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7C6BBDBD"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4243BFBA" w14:textId="4C5AECCD" w:rsidTr="00A80986">
        <w:tc>
          <w:tcPr>
            <w:cnfStyle w:val="001000000000" w:firstRow="0" w:lastRow="0" w:firstColumn="1" w:lastColumn="0" w:oddVBand="0" w:evenVBand="0" w:oddHBand="0" w:evenHBand="0" w:firstRowFirstColumn="0" w:firstRowLastColumn="0" w:lastRowFirstColumn="0" w:lastRowLastColumn="0"/>
            <w:tcW w:w="8526" w:type="dxa"/>
          </w:tcPr>
          <w:p w14:paraId="2C5B366D" w14:textId="77777777" w:rsidR="00B02841" w:rsidRPr="00B67ACC" w:rsidRDefault="00B02841" w:rsidP="00A33868">
            <w:pPr>
              <w:shd w:val="clear" w:color="auto" w:fill="FFFFFF"/>
              <w:spacing w:after="330" w:line="360" w:lineRule="atLeast"/>
              <w:rPr>
                <w:i/>
                <w:iCs/>
              </w:rPr>
            </w:pPr>
            <w:r w:rsidRPr="00B67ACC">
              <w:rPr>
                <w:i/>
                <w:iCs/>
                <w:color w:val="000000"/>
              </w:rPr>
              <w:t xml:space="preserve">Certain payments that a shareholder or their associate makes to a private company in respect of a loan will not be </w:t>
            </w:r>
            <w:proofErr w:type="gramStart"/>
            <w:r w:rsidRPr="00B67ACC">
              <w:rPr>
                <w:i/>
                <w:iCs/>
                <w:color w:val="000000"/>
              </w:rPr>
              <w:t>taken into account</w:t>
            </w:r>
            <w:proofErr w:type="gramEnd"/>
            <w:r w:rsidRPr="00B67ACC">
              <w:rPr>
                <w:i/>
                <w:iCs/>
                <w:color w:val="000000"/>
              </w:rPr>
              <w:t xml:space="preserve"> for the purpose of working out the minimum yearly repayment or how much of the loan has been repaid.</w:t>
            </w:r>
          </w:p>
        </w:tc>
        <w:tc>
          <w:tcPr>
            <w:tcW w:w="1356" w:type="dxa"/>
          </w:tcPr>
          <w:p w14:paraId="47435213" w14:textId="77777777" w:rsidR="00B02841" w:rsidRPr="00B67ACC" w:rsidRDefault="00B02841" w:rsidP="00A33868">
            <w:pPr>
              <w:shd w:val="clear" w:color="auto" w:fill="FFFFFF"/>
              <w:spacing w:after="330" w:line="360" w:lineRule="atLeast"/>
              <w:cnfStyle w:val="000000000000" w:firstRow="0" w:lastRow="0" w:firstColumn="0" w:lastColumn="0" w:oddVBand="0" w:evenVBand="0" w:oddHBand="0" w:evenHBand="0" w:firstRowFirstColumn="0" w:firstRowLastColumn="0" w:lastRowFirstColumn="0" w:lastRowLastColumn="0"/>
              <w:rPr>
                <w:i/>
                <w:iCs/>
                <w:color w:val="000000"/>
              </w:rPr>
            </w:pPr>
          </w:p>
        </w:tc>
        <w:tc>
          <w:tcPr>
            <w:tcW w:w="4508" w:type="dxa"/>
          </w:tcPr>
          <w:p w14:paraId="573B591A" w14:textId="77777777" w:rsidR="00B02841" w:rsidRPr="00B67ACC" w:rsidRDefault="00B02841" w:rsidP="00A33868">
            <w:pPr>
              <w:shd w:val="clear" w:color="auto" w:fill="FFFFFF"/>
              <w:spacing w:after="330" w:line="360" w:lineRule="atLeast"/>
              <w:cnfStyle w:val="000000000000" w:firstRow="0" w:lastRow="0" w:firstColumn="0" w:lastColumn="0" w:oddVBand="0" w:evenVBand="0" w:oddHBand="0" w:evenHBand="0" w:firstRowFirstColumn="0" w:firstRowLastColumn="0" w:lastRowFirstColumn="0" w:lastRowLastColumn="0"/>
              <w:rPr>
                <w:i/>
                <w:iCs/>
                <w:color w:val="000000"/>
              </w:rPr>
            </w:pPr>
          </w:p>
        </w:tc>
      </w:tr>
      <w:tr w:rsidR="00B02841" w:rsidRPr="00B67ACC" w14:paraId="0DF6D7D3" w14:textId="1AD6121D"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3C1F0B07" w14:textId="77777777" w:rsidR="00B02841" w:rsidRPr="00B67ACC" w:rsidRDefault="00B02841" w:rsidP="00A33868">
            <w:pPr>
              <w:shd w:val="clear" w:color="auto" w:fill="FFFFFF"/>
              <w:spacing w:after="330" w:line="360" w:lineRule="atLeast"/>
              <w:rPr>
                <w:i/>
                <w:iCs/>
              </w:rPr>
            </w:pPr>
            <w:r w:rsidRPr="00B67ACC">
              <w:rPr>
                <w:i/>
                <w:iCs/>
                <w:color w:val="000000"/>
              </w:rPr>
              <w:t>A payment will not be taken into account if a reasonable person would conclude that, when the shareholder or their associate made the payment, they intended to obtain a loan from the private company of an amount similar to or larger than the payment and from 1 July 2009, a loan payment will not be taken into account if a reasonable person would conclude that, before making the payment, the shareholder or their associate obtained a loan from the private company of a total amount similar to, or larger than, the repayment.</w:t>
            </w:r>
          </w:p>
        </w:tc>
        <w:tc>
          <w:tcPr>
            <w:tcW w:w="1356" w:type="dxa"/>
          </w:tcPr>
          <w:p w14:paraId="18CE20C9" w14:textId="77777777" w:rsidR="00B02841" w:rsidRPr="00B67ACC" w:rsidRDefault="00B02841" w:rsidP="00A33868">
            <w:pPr>
              <w:shd w:val="clear" w:color="auto" w:fill="FFFFFF"/>
              <w:spacing w:after="330" w:line="360" w:lineRule="atLeast"/>
              <w:cnfStyle w:val="000000100000" w:firstRow="0" w:lastRow="0" w:firstColumn="0" w:lastColumn="0" w:oddVBand="0" w:evenVBand="0" w:oddHBand="1" w:evenHBand="0" w:firstRowFirstColumn="0" w:firstRowLastColumn="0" w:lastRowFirstColumn="0" w:lastRowLastColumn="0"/>
              <w:rPr>
                <w:i/>
                <w:iCs/>
                <w:color w:val="000000"/>
              </w:rPr>
            </w:pPr>
          </w:p>
        </w:tc>
        <w:tc>
          <w:tcPr>
            <w:tcW w:w="4508" w:type="dxa"/>
          </w:tcPr>
          <w:p w14:paraId="2181A9F2" w14:textId="77777777" w:rsidR="00B02841" w:rsidRPr="00B67ACC" w:rsidRDefault="00B02841" w:rsidP="00A33868">
            <w:pPr>
              <w:shd w:val="clear" w:color="auto" w:fill="FFFFFF"/>
              <w:spacing w:after="330" w:line="360" w:lineRule="atLeast"/>
              <w:cnfStyle w:val="000000100000" w:firstRow="0" w:lastRow="0" w:firstColumn="0" w:lastColumn="0" w:oddVBand="0" w:evenVBand="0" w:oddHBand="1" w:evenHBand="0" w:firstRowFirstColumn="0" w:firstRowLastColumn="0" w:lastRowFirstColumn="0" w:lastRowLastColumn="0"/>
              <w:rPr>
                <w:i/>
                <w:iCs/>
                <w:color w:val="000000"/>
              </w:rPr>
            </w:pPr>
          </w:p>
        </w:tc>
      </w:tr>
      <w:tr w:rsidR="00B02841" w:rsidRPr="00B67ACC" w14:paraId="2A5D229C" w14:textId="0661605D" w:rsidTr="00A80986">
        <w:tc>
          <w:tcPr>
            <w:cnfStyle w:val="001000000000" w:firstRow="0" w:lastRow="0" w:firstColumn="1" w:lastColumn="0" w:oddVBand="0" w:evenVBand="0" w:oddHBand="0" w:evenHBand="0" w:firstRowFirstColumn="0" w:firstRowLastColumn="0" w:lastRowFirstColumn="0" w:lastRowLastColumn="0"/>
            <w:tcW w:w="8526" w:type="dxa"/>
          </w:tcPr>
          <w:p w14:paraId="51C269AE" w14:textId="77777777" w:rsidR="00B02841" w:rsidRPr="00B67ACC" w:rsidRDefault="00B02841" w:rsidP="00A33868">
            <w:pPr>
              <w:rPr>
                <w:lang w:val="en-US"/>
              </w:rPr>
            </w:pPr>
          </w:p>
        </w:tc>
        <w:tc>
          <w:tcPr>
            <w:tcW w:w="1356" w:type="dxa"/>
          </w:tcPr>
          <w:p w14:paraId="5E6DAB7E"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60BA932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3AB7BBEB" w14:textId="70ABD798"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20591D0" w14:textId="77777777" w:rsidR="00B02841" w:rsidRPr="00B67ACC" w:rsidRDefault="00B02841" w:rsidP="00A33868">
            <w:pPr>
              <w:rPr>
                <w:b w:val="0"/>
                <w:bCs w:val="0"/>
                <w:lang w:val="en-US"/>
              </w:rPr>
            </w:pPr>
            <w:r w:rsidRPr="00B67ACC">
              <w:rPr>
                <w:lang w:val="en-US"/>
              </w:rPr>
              <w:t>Basic Year-End Strategies</w:t>
            </w:r>
          </w:p>
        </w:tc>
        <w:tc>
          <w:tcPr>
            <w:tcW w:w="1356" w:type="dxa"/>
          </w:tcPr>
          <w:p w14:paraId="60569633"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0B7AC44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618D32DB" w14:textId="7FC98EF7" w:rsidTr="00A80986">
        <w:tc>
          <w:tcPr>
            <w:cnfStyle w:val="001000000000" w:firstRow="0" w:lastRow="0" w:firstColumn="1" w:lastColumn="0" w:oddVBand="0" w:evenVBand="0" w:oddHBand="0" w:evenHBand="0" w:firstRowFirstColumn="0" w:firstRowLastColumn="0" w:lastRowFirstColumn="0" w:lastRowLastColumn="0"/>
            <w:tcW w:w="8526" w:type="dxa"/>
          </w:tcPr>
          <w:p w14:paraId="35B0FAAB" w14:textId="77777777" w:rsidR="00B02841" w:rsidRPr="00B67ACC" w:rsidRDefault="00B02841" w:rsidP="00A33868">
            <w:pPr>
              <w:rPr>
                <w:lang w:val="en-US"/>
              </w:rPr>
            </w:pPr>
            <w:r w:rsidRPr="00B67ACC">
              <w:rPr>
                <w:lang w:val="en-US"/>
              </w:rPr>
              <w:t>In addition to the above points, we have the usual strategies for Year End Tax Planning to discuss, including:</w:t>
            </w:r>
          </w:p>
        </w:tc>
        <w:tc>
          <w:tcPr>
            <w:tcW w:w="1356" w:type="dxa"/>
          </w:tcPr>
          <w:p w14:paraId="79225AF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727EA77E"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6B3F3DA6" w14:textId="7FEC8016"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0E4F95E" w14:textId="77777777" w:rsidR="00B02841" w:rsidRPr="00B67ACC" w:rsidRDefault="00B02841" w:rsidP="00A33868">
            <w:pPr>
              <w:numPr>
                <w:ilvl w:val="0"/>
                <w:numId w:val="7"/>
              </w:numPr>
              <w:rPr>
                <w:rFonts w:eastAsia="Times New Roman"/>
              </w:rPr>
            </w:pPr>
            <w:r w:rsidRPr="00B67ACC">
              <w:rPr>
                <w:rFonts w:eastAsia="Times New Roman"/>
              </w:rPr>
              <w:t>Defer income by delaying invoicing</w:t>
            </w:r>
          </w:p>
        </w:tc>
        <w:tc>
          <w:tcPr>
            <w:tcW w:w="1356" w:type="dxa"/>
          </w:tcPr>
          <w:p w14:paraId="2613802F"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08" w:type="dxa"/>
          </w:tcPr>
          <w:p w14:paraId="2EFABAD0"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B02841" w:rsidRPr="00B67ACC" w14:paraId="7B858388" w14:textId="63DD89EA" w:rsidTr="00A80986">
        <w:tc>
          <w:tcPr>
            <w:cnfStyle w:val="001000000000" w:firstRow="0" w:lastRow="0" w:firstColumn="1" w:lastColumn="0" w:oddVBand="0" w:evenVBand="0" w:oddHBand="0" w:evenHBand="0" w:firstRowFirstColumn="0" w:firstRowLastColumn="0" w:lastRowFirstColumn="0" w:lastRowLastColumn="0"/>
            <w:tcW w:w="8526" w:type="dxa"/>
          </w:tcPr>
          <w:p w14:paraId="742CF37A" w14:textId="77777777" w:rsidR="00B02841" w:rsidRPr="00B67ACC" w:rsidRDefault="00B02841" w:rsidP="00A33868">
            <w:pPr>
              <w:numPr>
                <w:ilvl w:val="0"/>
                <w:numId w:val="7"/>
              </w:numPr>
              <w:rPr>
                <w:rFonts w:eastAsia="Times New Roman"/>
              </w:rPr>
            </w:pPr>
            <w:r w:rsidRPr="00B67ACC">
              <w:rPr>
                <w:rFonts w:eastAsia="Times New Roman"/>
              </w:rPr>
              <w:t>Bring forward expenditure by incurring the expense prior to year-end</w:t>
            </w:r>
          </w:p>
        </w:tc>
        <w:tc>
          <w:tcPr>
            <w:tcW w:w="1356" w:type="dxa"/>
          </w:tcPr>
          <w:p w14:paraId="2FEBD85D"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08" w:type="dxa"/>
          </w:tcPr>
          <w:p w14:paraId="4500B35E"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B02841" w:rsidRPr="00B67ACC" w14:paraId="33A2DC86" w14:textId="46EE036D"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4C13EE1E" w14:textId="77777777" w:rsidR="00B02841" w:rsidRPr="00B67ACC" w:rsidRDefault="00B02841" w:rsidP="00A33868">
            <w:pPr>
              <w:numPr>
                <w:ilvl w:val="0"/>
                <w:numId w:val="7"/>
              </w:numPr>
              <w:rPr>
                <w:rFonts w:eastAsia="Times New Roman"/>
              </w:rPr>
            </w:pPr>
            <w:r w:rsidRPr="00B67ACC">
              <w:rPr>
                <w:rFonts w:eastAsia="Times New Roman"/>
              </w:rPr>
              <w:t>Review trading stock for possible write-downs of obsolete lines</w:t>
            </w:r>
          </w:p>
        </w:tc>
        <w:tc>
          <w:tcPr>
            <w:tcW w:w="1356" w:type="dxa"/>
          </w:tcPr>
          <w:p w14:paraId="50D0F189"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08" w:type="dxa"/>
          </w:tcPr>
          <w:p w14:paraId="3406441D"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B02841" w:rsidRPr="00B67ACC" w14:paraId="45E98426" w14:textId="6F6FEC5E" w:rsidTr="00A80986">
        <w:tc>
          <w:tcPr>
            <w:cnfStyle w:val="001000000000" w:firstRow="0" w:lastRow="0" w:firstColumn="1" w:lastColumn="0" w:oddVBand="0" w:evenVBand="0" w:oddHBand="0" w:evenHBand="0" w:firstRowFirstColumn="0" w:firstRowLastColumn="0" w:lastRowFirstColumn="0" w:lastRowLastColumn="0"/>
            <w:tcW w:w="8526" w:type="dxa"/>
          </w:tcPr>
          <w:p w14:paraId="09F2E28A" w14:textId="77777777" w:rsidR="00B02841" w:rsidRPr="00B67ACC" w:rsidRDefault="00B02841" w:rsidP="00A33868">
            <w:pPr>
              <w:numPr>
                <w:ilvl w:val="0"/>
                <w:numId w:val="7"/>
              </w:numPr>
              <w:rPr>
                <w:rFonts w:eastAsia="Times New Roman"/>
              </w:rPr>
            </w:pPr>
            <w:r w:rsidRPr="00B67ACC">
              <w:rPr>
                <w:rFonts w:eastAsia="Times New Roman"/>
              </w:rPr>
              <w:t>Write-off bad debts in the accounts prior to 30 June</w:t>
            </w:r>
          </w:p>
        </w:tc>
        <w:tc>
          <w:tcPr>
            <w:tcW w:w="1356" w:type="dxa"/>
          </w:tcPr>
          <w:p w14:paraId="6EA4D3DA"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08" w:type="dxa"/>
          </w:tcPr>
          <w:p w14:paraId="33CBB834"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B02841" w:rsidRPr="00B67ACC" w14:paraId="7B27EDE4" w14:textId="296665A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2A7F929A" w14:textId="77777777" w:rsidR="00B02841" w:rsidRPr="00B67ACC" w:rsidRDefault="00B02841" w:rsidP="00A33868">
            <w:pPr>
              <w:numPr>
                <w:ilvl w:val="0"/>
                <w:numId w:val="7"/>
              </w:numPr>
              <w:rPr>
                <w:rFonts w:eastAsia="Times New Roman"/>
              </w:rPr>
            </w:pPr>
            <w:r w:rsidRPr="00B67ACC">
              <w:rPr>
                <w:rFonts w:eastAsia="Times New Roman"/>
              </w:rPr>
              <w:t>Prepay expenses if relevant to the size of your business. You can claim prepaid expenses this year if your turnover is &lt; $10M.</w:t>
            </w:r>
          </w:p>
        </w:tc>
        <w:tc>
          <w:tcPr>
            <w:tcW w:w="1356" w:type="dxa"/>
          </w:tcPr>
          <w:p w14:paraId="3BB0C28C"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08" w:type="dxa"/>
          </w:tcPr>
          <w:p w14:paraId="58568B70"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B02841" w:rsidRPr="00B67ACC" w14:paraId="79CDE545" w14:textId="0B302461" w:rsidTr="00A80986">
        <w:tc>
          <w:tcPr>
            <w:cnfStyle w:val="001000000000" w:firstRow="0" w:lastRow="0" w:firstColumn="1" w:lastColumn="0" w:oddVBand="0" w:evenVBand="0" w:oddHBand="0" w:evenHBand="0" w:firstRowFirstColumn="0" w:firstRowLastColumn="0" w:lastRowFirstColumn="0" w:lastRowLastColumn="0"/>
            <w:tcW w:w="8526" w:type="dxa"/>
          </w:tcPr>
          <w:p w14:paraId="45DE3CC3" w14:textId="77777777" w:rsidR="00B02841" w:rsidRPr="00B67ACC" w:rsidRDefault="00B02841" w:rsidP="00A33868">
            <w:pPr>
              <w:numPr>
                <w:ilvl w:val="0"/>
                <w:numId w:val="7"/>
              </w:numPr>
              <w:rPr>
                <w:rFonts w:eastAsia="Times New Roman"/>
              </w:rPr>
            </w:pPr>
            <w:r w:rsidRPr="00B67ACC">
              <w:rPr>
                <w:rFonts w:eastAsia="Times New Roman"/>
              </w:rPr>
              <w:t>Pay superannuation contributions for yourselves, if relevant, and ensure paid, along with employees’ contributions, before 30 June to get the deduction this year.</w:t>
            </w:r>
          </w:p>
        </w:tc>
        <w:tc>
          <w:tcPr>
            <w:tcW w:w="1356" w:type="dxa"/>
          </w:tcPr>
          <w:p w14:paraId="1636E2D9"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08" w:type="dxa"/>
          </w:tcPr>
          <w:p w14:paraId="50F044CD"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B02841" w:rsidRPr="00B67ACC" w14:paraId="67E54004" w14:textId="2C8C42B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AE17F80" w14:textId="77777777" w:rsidR="00B02841" w:rsidRPr="00B67ACC" w:rsidRDefault="00B02841" w:rsidP="00A33868">
            <w:pPr>
              <w:numPr>
                <w:ilvl w:val="0"/>
                <w:numId w:val="7"/>
              </w:numPr>
              <w:rPr>
                <w:rFonts w:eastAsia="Times New Roman"/>
                <w:i/>
                <w:iCs/>
              </w:rPr>
            </w:pPr>
            <w:r w:rsidRPr="00B67ACC">
              <w:rPr>
                <w:rFonts w:eastAsia="Times New Roman"/>
                <w:i/>
                <w:iCs/>
              </w:rPr>
              <w:t xml:space="preserve">Write-off plant and equipment that is not </w:t>
            </w:r>
            <w:proofErr w:type="gramStart"/>
            <w:r w:rsidRPr="00B67ACC">
              <w:rPr>
                <w:rFonts w:eastAsia="Times New Roman"/>
                <w:i/>
                <w:iCs/>
              </w:rPr>
              <w:t>used, or</w:t>
            </w:r>
            <w:proofErr w:type="gramEnd"/>
            <w:r w:rsidRPr="00B67ACC">
              <w:rPr>
                <w:rFonts w:eastAsia="Times New Roman"/>
                <w:i/>
                <w:iCs/>
              </w:rPr>
              <w:t xml:space="preserve"> has been scrapped.</w:t>
            </w:r>
          </w:p>
        </w:tc>
        <w:tc>
          <w:tcPr>
            <w:tcW w:w="1356" w:type="dxa"/>
          </w:tcPr>
          <w:p w14:paraId="491FE052"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i/>
                <w:iCs/>
              </w:rPr>
            </w:pPr>
          </w:p>
        </w:tc>
        <w:tc>
          <w:tcPr>
            <w:tcW w:w="4508" w:type="dxa"/>
          </w:tcPr>
          <w:p w14:paraId="1BE842F2"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i/>
                <w:iCs/>
              </w:rPr>
            </w:pPr>
          </w:p>
        </w:tc>
      </w:tr>
      <w:tr w:rsidR="00B02841" w:rsidRPr="00B67ACC" w14:paraId="0698D8E1" w14:textId="385CF6EF" w:rsidTr="00A80986">
        <w:tc>
          <w:tcPr>
            <w:cnfStyle w:val="001000000000" w:firstRow="0" w:lastRow="0" w:firstColumn="1" w:lastColumn="0" w:oddVBand="0" w:evenVBand="0" w:oddHBand="0" w:evenHBand="0" w:firstRowFirstColumn="0" w:firstRowLastColumn="0" w:lastRowFirstColumn="0" w:lastRowLastColumn="0"/>
            <w:tcW w:w="8526" w:type="dxa"/>
          </w:tcPr>
          <w:p w14:paraId="60D5D6A8" w14:textId="77777777" w:rsidR="00B02841" w:rsidRPr="00B67ACC" w:rsidRDefault="00B02841" w:rsidP="00A33868">
            <w:pPr>
              <w:numPr>
                <w:ilvl w:val="0"/>
                <w:numId w:val="7"/>
              </w:numPr>
              <w:rPr>
                <w:rFonts w:eastAsia="Times New Roman"/>
                <w:i/>
                <w:iCs/>
              </w:rPr>
            </w:pPr>
            <w:r w:rsidRPr="00B67ACC">
              <w:rPr>
                <w:rFonts w:eastAsia="Times New Roman"/>
                <w:i/>
                <w:iCs/>
              </w:rPr>
              <w:t>Ensure loans to shareholders are under control with adequate repayments and loan agreements in place.</w:t>
            </w:r>
          </w:p>
        </w:tc>
        <w:tc>
          <w:tcPr>
            <w:tcW w:w="1356" w:type="dxa"/>
          </w:tcPr>
          <w:p w14:paraId="4343CD9D"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i/>
                <w:iCs/>
              </w:rPr>
            </w:pPr>
          </w:p>
        </w:tc>
        <w:tc>
          <w:tcPr>
            <w:tcW w:w="4508" w:type="dxa"/>
          </w:tcPr>
          <w:p w14:paraId="617A116E"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i/>
                <w:iCs/>
              </w:rPr>
            </w:pPr>
          </w:p>
        </w:tc>
      </w:tr>
      <w:tr w:rsidR="00B02841" w:rsidRPr="00B67ACC" w14:paraId="0DF133C6" w14:textId="22FB844D"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30C4EE28" w14:textId="77777777" w:rsidR="00B02841" w:rsidRPr="00B67ACC" w:rsidRDefault="00B02841" w:rsidP="00A33868">
            <w:pPr>
              <w:numPr>
                <w:ilvl w:val="0"/>
                <w:numId w:val="7"/>
              </w:numPr>
              <w:rPr>
                <w:rFonts w:eastAsia="Times New Roman"/>
              </w:rPr>
            </w:pPr>
            <w:r w:rsidRPr="00B67ACC">
              <w:rPr>
                <w:rFonts w:eastAsia="Times New Roman"/>
              </w:rPr>
              <w:t xml:space="preserve">Any bonuses due to employees should be paid before 30 June to receive tax deductions this year, or if committed to this year, but based on a profit calculation that </w:t>
            </w:r>
            <w:proofErr w:type="gramStart"/>
            <w:r w:rsidRPr="00B67ACC">
              <w:rPr>
                <w:rFonts w:eastAsia="Times New Roman"/>
              </w:rPr>
              <w:t>can’t</w:t>
            </w:r>
            <w:proofErr w:type="gramEnd"/>
            <w:r w:rsidRPr="00B67ACC">
              <w:rPr>
                <w:rFonts w:eastAsia="Times New Roman"/>
              </w:rPr>
              <w:t xml:space="preserve"> be done until after 30 June, </w:t>
            </w:r>
            <w:proofErr w:type="spellStart"/>
            <w:r w:rsidRPr="00B67ACC">
              <w:rPr>
                <w:rFonts w:eastAsia="Times New Roman"/>
              </w:rPr>
              <w:t>minuted</w:t>
            </w:r>
            <w:proofErr w:type="spellEnd"/>
            <w:r w:rsidRPr="00B67ACC">
              <w:rPr>
                <w:rFonts w:eastAsia="Times New Roman"/>
              </w:rPr>
              <w:t xml:space="preserve"> in the statutory records that they are to be paid.</w:t>
            </w:r>
          </w:p>
        </w:tc>
        <w:tc>
          <w:tcPr>
            <w:tcW w:w="1356" w:type="dxa"/>
          </w:tcPr>
          <w:p w14:paraId="2FD850EF"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08" w:type="dxa"/>
          </w:tcPr>
          <w:p w14:paraId="260F418F"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B02841" w:rsidRPr="00B67ACC" w14:paraId="57636147" w14:textId="3252DEA5" w:rsidTr="00A80986">
        <w:tc>
          <w:tcPr>
            <w:cnfStyle w:val="001000000000" w:firstRow="0" w:lastRow="0" w:firstColumn="1" w:lastColumn="0" w:oddVBand="0" w:evenVBand="0" w:oddHBand="0" w:evenHBand="0" w:firstRowFirstColumn="0" w:firstRowLastColumn="0" w:lastRowFirstColumn="0" w:lastRowLastColumn="0"/>
            <w:tcW w:w="8526" w:type="dxa"/>
          </w:tcPr>
          <w:p w14:paraId="795BF217" w14:textId="77777777" w:rsidR="00B02841" w:rsidRPr="00B67ACC" w:rsidRDefault="00B02841" w:rsidP="00A33868">
            <w:pPr>
              <w:numPr>
                <w:ilvl w:val="0"/>
                <w:numId w:val="7"/>
              </w:numPr>
              <w:rPr>
                <w:rFonts w:eastAsia="Times New Roman"/>
              </w:rPr>
            </w:pPr>
            <w:r w:rsidRPr="00B67ACC">
              <w:rPr>
                <w:rFonts w:eastAsia="Times New Roman"/>
              </w:rPr>
              <w:t>Any issues with the Personal Services Income rules need to be resolved with the required salary by 30 June.</w:t>
            </w:r>
          </w:p>
        </w:tc>
        <w:tc>
          <w:tcPr>
            <w:tcW w:w="1356" w:type="dxa"/>
          </w:tcPr>
          <w:p w14:paraId="296CB821"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08" w:type="dxa"/>
          </w:tcPr>
          <w:p w14:paraId="303435A9"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B02841" w:rsidRPr="00B67ACC" w14:paraId="4B389B01" w14:textId="5DFB6671"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A97C3A0" w14:textId="77777777" w:rsidR="00B02841" w:rsidRPr="00B67ACC" w:rsidRDefault="00B02841" w:rsidP="00A33868">
            <w:pPr>
              <w:numPr>
                <w:ilvl w:val="0"/>
                <w:numId w:val="7"/>
              </w:numPr>
              <w:rPr>
                <w:rFonts w:eastAsia="Times New Roman"/>
              </w:rPr>
            </w:pPr>
            <w:r w:rsidRPr="00B67ACC">
              <w:rPr>
                <w:rFonts w:eastAsia="Times New Roman"/>
              </w:rPr>
              <w:t xml:space="preserve">Have you made capital gains this year? Do you </w:t>
            </w:r>
            <w:proofErr w:type="gramStart"/>
            <w:r w:rsidRPr="00B67ACC">
              <w:rPr>
                <w:rFonts w:eastAsia="Times New Roman"/>
              </w:rPr>
              <w:t>have the ability to</w:t>
            </w:r>
            <w:proofErr w:type="gramEnd"/>
            <w:r w:rsidRPr="00B67ACC">
              <w:rPr>
                <w:rFonts w:eastAsia="Times New Roman"/>
              </w:rPr>
              <w:t xml:space="preserve"> crystallise capital losses before 30 June to offset them?</w:t>
            </w:r>
          </w:p>
        </w:tc>
        <w:tc>
          <w:tcPr>
            <w:tcW w:w="1356" w:type="dxa"/>
          </w:tcPr>
          <w:p w14:paraId="2495893C"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08" w:type="dxa"/>
          </w:tcPr>
          <w:p w14:paraId="1095D2EC" w14:textId="77777777" w:rsidR="00B02841" w:rsidRPr="00B67ACC" w:rsidRDefault="00B02841" w:rsidP="00B67ACC">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B02841" w:rsidRPr="00B67ACC" w14:paraId="5C3E0918" w14:textId="5EC9615A" w:rsidTr="00A80986">
        <w:tc>
          <w:tcPr>
            <w:cnfStyle w:val="001000000000" w:firstRow="0" w:lastRow="0" w:firstColumn="1" w:lastColumn="0" w:oddVBand="0" w:evenVBand="0" w:oddHBand="0" w:evenHBand="0" w:firstRowFirstColumn="0" w:firstRowLastColumn="0" w:lastRowFirstColumn="0" w:lastRowLastColumn="0"/>
            <w:tcW w:w="8526" w:type="dxa"/>
          </w:tcPr>
          <w:p w14:paraId="559F52F3" w14:textId="77777777" w:rsidR="00B02841" w:rsidRPr="00B67ACC" w:rsidRDefault="00B02841" w:rsidP="00A33868">
            <w:pPr>
              <w:numPr>
                <w:ilvl w:val="0"/>
                <w:numId w:val="7"/>
              </w:numPr>
              <w:rPr>
                <w:rFonts w:eastAsia="Times New Roman"/>
              </w:rPr>
            </w:pPr>
            <w:r w:rsidRPr="00B67ACC">
              <w:rPr>
                <w:rFonts w:eastAsia="Times New Roman"/>
              </w:rPr>
              <w:t>If you wish to change structure, 1 July is the easiest and cheapest time to start the new structure.</w:t>
            </w:r>
          </w:p>
        </w:tc>
        <w:tc>
          <w:tcPr>
            <w:tcW w:w="1356" w:type="dxa"/>
          </w:tcPr>
          <w:p w14:paraId="05CB538E"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08" w:type="dxa"/>
          </w:tcPr>
          <w:p w14:paraId="6EA8ADAF"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B02841" w:rsidRPr="00B67ACC" w14:paraId="54EE11C1" w14:textId="581BF34E"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2EFCF3C" w14:textId="77777777" w:rsidR="00B02841" w:rsidRPr="00B67ACC" w:rsidRDefault="00B02841" w:rsidP="00A33868">
            <w:pPr>
              <w:rPr>
                <w:lang w:val="en-US"/>
              </w:rPr>
            </w:pPr>
          </w:p>
        </w:tc>
        <w:tc>
          <w:tcPr>
            <w:tcW w:w="1356" w:type="dxa"/>
          </w:tcPr>
          <w:p w14:paraId="18A5A533"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4351E45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4D538978" w14:textId="37B25BEA" w:rsidTr="00A80986">
        <w:tc>
          <w:tcPr>
            <w:cnfStyle w:val="001000000000" w:firstRow="0" w:lastRow="0" w:firstColumn="1" w:lastColumn="0" w:oddVBand="0" w:evenVBand="0" w:oddHBand="0" w:evenHBand="0" w:firstRowFirstColumn="0" w:firstRowLastColumn="0" w:lastRowFirstColumn="0" w:lastRowLastColumn="0"/>
            <w:tcW w:w="8526" w:type="dxa"/>
          </w:tcPr>
          <w:p w14:paraId="4C2BF49A" w14:textId="77777777" w:rsidR="00B02841" w:rsidRPr="00B67ACC" w:rsidRDefault="00B02841" w:rsidP="00A33868">
            <w:pPr>
              <w:spacing w:after="200" w:line="276" w:lineRule="auto"/>
              <w:rPr>
                <w:b w:val="0"/>
                <w:bCs w:val="0"/>
                <w:lang w:val="en-US"/>
              </w:rPr>
            </w:pPr>
            <w:r w:rsidRPr="00B67ACC">
              <w:rPr>
                <w:lang w:val="en-US"/>
              </w:rPr>
              <w:t>JOBKEEPER PAYMENTS</w:t>
            </w:r>
          </w:p>
        </w:tc>
        <w:tc>
          <w:tcPr>
            <w:tcW w:w="1356" w:type="dxa"/>
          </w:tcPr>
          <w:p w14:paraId="3AE1292D"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507CE637"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20827ED4" w14:textId="6298AD63"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8CD8C0D" w14:textId="77777777" w:rsidR="00B02841" w:rsidRPr="00B67ACC" w:rsidRDefault="00B02841" w:rsidP="00A33868">
            <w:pPr>
              <w:spacing w:after="200" w:line="276" w:lineRule="auto"/>
              <w:rPr>
                <w:lang w:val="en-US"/>
              </w:rPr>
            </w:pPr>
            <w:r w:rsidRPr="00B67ACC">
              <w:rPr>
                <w:lang w:val="en-US"/>
              </w:rPr>
              <w:t xml:space="preserve">Has your business accessed the Federal’s Government’s </w:t>
            </w:r>
            <w:proofErr w:type="spellStart"/>
            <w:r w:rsidRPr="00B67ACC">
              <w:rPr>
                <w:lang w:val="en-US"/>
              </w:rPr>
              <w:t>JobKeeper</w:t>
            </w:r>
            <w:proofErr w:type="spellEnd"/>
            <w:r w:rsidRPr="00B67ACC">
              <w:rPr>
                <w:lang w:val="en-US"/>
              </w:rPr>
              <w:t xml:space="preserve"> Payments? As a unique package, these payments will have a significant impact on both your tax planning and financial reporting.</w:t>
            </w:r>
          </w:p>
        </w:tc>
        <w:tc>
          <w:tcPr>
            <w:tcW w:w="1356" w:type="dxa"/>
          </w:tcPr>
          <w:p w14:paraId="664F11ED"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16408DE7"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718D0D5" w14:textId="45908FB7" w:rsidTr="00A80986">
        <w:tc>
          <w:tcPr>
            <w:cnfStyle w:val="001000000000" w:firstRow="0" w:lastRow="0" w:firstColumn="1" w:lastColumn="0" w:oddVBand="0" w:evenVBand="0" w:oddHBand="0" w:evenHBand="0" w:firstRowFirstColumn="0" w:firstRowLastColumn="0" w:lastRowFirstColumn="0" w:lastRowLastColumn="0"/>
            <w:tcW w:w="8526" w:type="dxa"/>
          </w:tcPr>
          <w:p w14:paraId="49485605" w14:textId="77777777" w:rsidR="00B02841" w:rsidRPr="00B67ACC" w:rsidRDefault="00B02841" w:rsidP="00A33868">
            <w:pPr>
              <w:spacing w:after="200" w:line="276" w:lineRule="auto"/>
              <w:rPr>
                <w:lang w:val="en-US"/>
              </w:rPr>
            </w:pPr>
            <w:r w:rsidRPr="00B67ACC">
              <w:rPr>
                <w:lang w:val="en-US"/>
              </w:rPr>
              <w:t>Tax Planning Impact</w:t>
            </w:r>
          </w:p>
        </w:tc>
        <w:tc>
          <w:tcPr>
            <w:tcW w:w="1356" w:type="dxa"/>
          </w:tcPr>
          <w:p w14:paraId="10EEF449"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55E62D2E"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ADD43CE" w14:textId="7A602569"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E10857A" w14:textId="77777777" w:rsidR="00B02841" w:rsidRPr="00B67ACC" w:rsidRDefault="00B02841" w:rsidP="00A33868">
            <w:pPr>
              <w:spacing w:after="200" w:line="276" w:lineRule="auto"/>
              <w:rPr>
                <w:lang w:val="en-US"/>
              </w:rPr>
            </w:pPr>
            <w:proofErr w:type="spellStart"/>
            <w:r w:rsidRPr="00B67ACC">
              <w:rPr>
                <w:lang w:val="en-US"/>
              </w:rPr>
              <w:t>JobKeeper</w:t>
            </w:r>
            <w:proofErr w:type="spellEnd"/>
            <w:r w:rsidRPr="00B67ACC">
              <w:rPr>
                <w:lang w:val="en-US"/>
              </w:rPr>
              <w:t xml:space="preserve"> payments are considered assessable income and are therefore taxable.</w:t>
            </w:r>
          </w:p>
        </w:tc>
        <w:tc>
          <w:tcPr>
            <w:tcW w:w="1356" w:type="dxa"/>
          </w:tcPr>
          <w:p w14:paraId="3A82BEDC"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58815F8"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67AD22A" w14:textId="60BFA96D" w:rsidTr="00A80986">
        <w:tc>
          <w:tcPr>
            <w:cnfStyle w:val="001000000000" w:firstRow="0" w:lastRow="0" w:firstColumn="1" w:lastColumn="0" w:oddVBand="0" w:evenVBand="0" w:oddHBand="0" w:evenHBand="0" w:firstRowFirstColumn="0" w:firstRowLastColumn="0" w:lastRowFirstColumn="0" w:lastRowLastColumn="0"/>
            <w:tcW w:w="8526" w:type="dxa"/>
          </w:tcPr>
          <w:p w14:paraId="057F0F4E" w14:textId="77777777" w:rsidR="00B02841" w:rsidRPr="00B67ACC" w:rsidRDefault="00B02841" w:rsidP="00A33868">
            <w:pPr>
              <w:spacing w:after="200" w:line="276" w:lineRule="auto"/>
              <w:rPr>
                <w:lang w:val="en-US"/>
              </w:rPr>
            </w:pPr>
            <w:r w:rsidRPr="00B67ACC">
              <w:rPr>
                <w:lang w:val="en-US"/>
              </w:rPr>
              <w:lastRenderedPageBreak/>
              <w:t xml:space="preserve">Carefully consider the timing of when </w:t>
            </w:r>
            <w:proofErr w:type="spellStart"/>
            <w:r w:rsidRPr="00B67ACC">
              <w:rPr>
                <w:lang w:val="en-US"/>
              </w:rPr>
              <w:t>JobKeeper</w:t>
            </w:r>
            <w:proofErr w:type="spellEnd"/>
            <w:r w:rsidRPr="00B67ACC">
              <w:rPr>
                <w:lang w:val="en-US"/>
              </w:rPr>
              <w:t xml:space="preserve"> payments are assessable, based on the specific circumstances of your business. Whether your business operates on a cash or accruals basis will be important in undertaking this assessment. The </w:t>
            </w:r>
            <w:proofErr w:type="spellStart"/>
            <w:r w:rsidRPr="00B67ACC">
              <w:rPr>
                <w:lang w:val="en-US"/>
              </w:rPr>
              <w:t>JobKeeper</w:t>
            </w:r>
            <w:proofErr w:type="spellEnd"/>
            <w:r w:rsidRPr="00B67ACC">
              <w:rPr>
                <w:lang w:val="en-US"/>
              </w:rPr>
              <w:t xml:space="preserve"> payments relating to the June 2020 </w:t>
            </w:r>
            <w:proofErr w:type="spellStart"/>
            <w:r w:rsidRPr="00B67ACC">
              <w:rPr>
                <w:lang w:val="en-US"/>
              </w:rPr>
              <w:t>JobKeeper</w:t>
            </w:r>
            <w:proofErr w:type="spellEnd"/>
            <w:r w:rsidRPr="00B67ACC">
              <w:rPr>
                <w:lang w:val="en-US"/>
              </w:rPr>
              <w:t xml:space="preserve"> fortnights (which will be paid by the Australian Taxation Office (ATO) to businesses in July 2020 or later) will generally not be assessable in the 30 June 2020 year for most businesses.</w:t>
            </w:r>
          </w:p>
        </w:tc>
        <w:tc>
          <w:tcPr>
            <w:tcW w:w="1356" w:type="dxa"/>
          </w:tcPr>
          <w:p w14:paraId="7ECB1C24"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33D3AEBD"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D0120F7" w14:textId="5AE350F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0DD8340" w14:textId="77777777" w:rsidR="00B02841" w:rsidRPr="00B67ACC" w:rsidRDefault="00B02841" w:rsidP="00A33868">
            <w:pPr>
              <w:spacing w:after="200" w:line="276" w:lineRule="auto"/>
              <w:rPr>
                <w:lang w:val="en-US"/>
              </w:rPr>
            </w:pPr>
            <w:r w:rsidRPr="00B67ACC">
              <w:rPr>
                <w:lang w:val="en-US"/>
              </w:rPr>
              <w:t xml:space="preserve">ATO penalties can arise for incorrectly claiming </w:t>
            </w:r>
            <w:proofErr w:type="spellStart"/>
            <w:r w:rsidRPr="00B67ACC">
              <w:rPr>
                <w:lang w:val="en-US"/>
              </w:rPr>
              <w:t>JobKeeper</w:t>
            </w:r>
            <w:proofErr w:type="spellEnd"/>
            <w:r w:rsidRPr="00B67ACC">
              <w:rPr>
                <w:lang w:val="en-US"/>
              </w:rPr>
              <w:t xml:space="preserve"> and other benefits. The criteria for accessing the </w:t>
            </w:r>
            <w:proofErr w:type="spellStart"/>
            <w:r w:rsidRPr="00B67ACC">
              <w:rPr>
                <w:lang w:val="en-US"/>
              </w:rPr>
              <w:t>JobKeeper</w:t>
            </w:r>
            <w:proofErr w:type="spellEnd"/>
            <w:r w:rsidRPr="00B67ACC">
              <w:rPr>
                <w:lang w:val="en-US"/>
              </w:rPr>
              <w:t xml:space="preserve"> package are very specific. Please arm yourself with a solid understanding of the underlying requirements. The retention of detailed records to support the claim is also crucial.</w:t>
            </w:r>
          </w:p>
        </w:tc>
        <w:tc>
          <w:tcPr>
            <w:tcW w:w="1356" w:type="dxa"/>
          </w:tcPr>
          <w:p w14:paraId="0FAFF714"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DA5F86F"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6E1735A1" w14:textId="433898F5" w:rsidTr="00A80986">
        <w:tc>
          <w:tcPr>
            <w:cnfStyle w:val="001000000000" w:firstRow="0" w:lastRow="0" w:firstColumn="1" w:lastColumn="0" w:oddVBand="0" w:evenVBand="0" w:oddHBand="0" w:evenHBand="0" w:firstRowFirstColumn="0" w:firstRowLastColumn="0" w:lastRowFirstColumn="0" w:lastRowLastColumn="0"/>
            <w:tcW w:w="8526" w:type="dxa"/>
          </w:tcPr>
          <w:p w14:paraId="1F5A8118" w14:textId="77777777" w:rsidR="00B02841" w:rsidRPr="00B67ACC" w:rsidRDefault="00B02841" w:rsidP="00A33868">
            <w:pPr>
              <w:spacing w:after="200" w:line="276" w:lineRule="auto"/>
              <w:rPr>
                <w:lang w:val="en-US"/>
              </w:rPr>
            </w:pPr>
            <w:r w:rsidRPr="00B67ACC">
              <w:rPr>
                <w:lang w:val="en-US"/>
              </w:rPr>
              <w:t>Accounting Impact</w:t>
            </w:r>
          </w:p>
        </w:tc>
        <w:tc>
          <w:tcPr>
            <w:tcW w:w="1356" w:type="dxa"/>
          </w:tcPr>
          <w:p w14:paraId="4825FFB0"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6D50D8A6"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176478FC" w14:textId="51945CDA"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B715F5F" w14:textId="77777777" w:rsidR="00B02841" w:rsidRPr="00B67ACC" w:rsidRDefault="00B02841" w:rsidP="00A33868">
            <w:pPr>
              <w:spacing w:after="200" w:line="276" w:lineRule="auto"/>
              <w:rPr>
                <w:lang w:val="en-US"/>
              </w:rPr>
            </w:pPr>
            <w:proofErr w:type="spellStart"/>
            <w:r w:rsidRPr="00B67ACC">
              <w:rPr>
                <w:lang w:val="en-US"/>
              </w:rPr>
              <w:t>JobKeeper</w:t>
            </w:r>
            <w:proofErr w:type="spellEnd"/>
            <w:r w:rsidRPr="00B67ACC">
              <w:rPr>
                <w:lang w:val="en-US"/>
              </w:rPr>
              <w:t xml:space="preserve"> payments should treated as a government grant and either be disclosed as ‘other income’ or netted off against salary expense. The ‘other income’ presentation is generally considered to be more useful as it will allow for appropriate year-on-year comparisons to be made in the future and will also facilitate completing the tax return.</w:t>
            </w:r>
          </w:p>
        </w:tc>
        <w:tc>
          <w:tcPr>
            <w:tcW w:w="1356" w:type="dxa"/>
          </w:tcPr>
          <w:p w14:paraId="3D046678"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43BAFD79"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0E5BB5C6" w14:textId="779AE278" w:rsidTr="00A80986">
        <w:tc>
          <w:tcPr>
            <w:cnfStyle w:val="001000000000" w:firstRow="0" w:lastRow="0" w:firstColumn="1" w:lastColumn="0" w:oddVBand="0" w:evenVBand="0" w:oddHBand="0" w:evenHBand="0" w:firstRowFirstColumn="0" w:firstRowLastColumn="0" w:lastRowFirstColumn="0" w:lastRowLastColumn="0"/>
            <w:tcW w:w="8526" w:type="dxa"/>
          </w:tcPr>
          <w:p w14:paraId="04821B3D" w14:textId="77777777" w:rsidR="00B02841" w:rsidRPr="00B67ACC" w:rsidRDefault="00B02841" w:rsidP="00A33868">
            <w:pPr>
              <w:spacing w:after="200" w:line="276" w:lineRule="auto"/>
              <w:rPr>
                <w:lang w:val="en-US"/>
              </w:rPr>
            </w:pPr>
            <w:r w:rsidRPr="00B67ACC">
              <w:rPr>
                <w:lang w:val="en-US"/>
              </w:rPr>
              <w:t xml:space="preserve">On an accrual basis of accounting, </w:t>
            </w:r>
            <w:proofErr w:type="spellStart"/>
            <w:r w:rsidRPr="00B67ACC">
              <w:rPr>
                <w:lang w:val="en-US"/>
              </w:rPr>
              <w:t>JobKeeper</w:t>
            </w:r>
            <w:proofErr w:type="spellEnd"/>
            <w:r w:rsidRPr="00B67ACC">
              <w:rPr>
                <w:lang w:val="en-US"/>
              </w:rPr>
              <w:t xml:space="preserve"> payments will be derived when the entity has reasonable assurance that the conditions attached to the grant will be complied with </w:t>
            </w:r>
            <w:proofErr w:type="gramStart"/>
            <w:r w:rsidRPr="00B67ACC">
              <w:rPr>
                <w:lang w:val="en-US"/>
              </w:rPr>
              <w:t>i.e.</w:t>
            </w:r>
            <w:proofErr w:type="gramEnd"/>
            <w:r w:rsidRPr="00B67ACC">
              <w:rPr>
                <w:lang w:val="en-US"/>
              </w:rPr>
              <w:t xml:space="preserve"> that the employer is eligible for the scheme and has paid the requisite salaries to employees.</w:t>
            </w:r>
          </w:p>
        </w:tc>
        <w:tc>
          <w:tcPr>
            <w:tcW w:w="1356" w:type="dxa"/>
          </w:tcPr>
          <w:p w14:paraId="48D98035"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BEF1BCB"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4BFD47C5" w14:textId="6F09FA82"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F5932C3" w14:textId="77777777" w:rsidR="00B02841" w:rsidRPr="00B67ACC" w:rsidRDefault="00B02841" w:rsidP="00A33868">
            <w:pPr>
              <w:spacing w:after="200" w:line="276" w:lineRule="auto"/>
              <w:rPr>
                <w:lang w:val="en-US"/>
              </w:rPr>
            </w:pPr>
          </w:p>
        </w:tc>
        <w:tc>
          <w:tcPr>
            <w:tcW w:w="1356" w:type="dxa"/>
          </w:tcPr>
          <w:p w14:paraId="4BC6C341"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6CDC3D2B"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61FFBF2E" w14:textId="582382D8" w:rsidTr="00A80986">
        <w:tc>
          <w:tcPr>
            <w:cnfStyle w:val="001000000000" w:firstRow="0" w:lastRow="0" w:firstColumn="1" w:lastColumn="0" w:oddVBand="0" w:evenVBand="0" w:oddHBand="0" w:evenHBand="0" w:firstRowFirstColumn="0" w:firstRowLastColumn="0" w:lastRowFirstColumn="0" w:lastRowLastColumn="0"/>
            <w:tcW w:w="8526" w:type="dxa"/>
          </w:tcPr>
          <w:p w14:paraId="4EB71DD1" w14:textId="77777777" w:rsidR="00B02841" w:rsidRPr="00B67ACC" w:rsidRDefault="00B02841" w:rsidP="00A33868">
            <w:pPr>
              <w:spacing w:after="200" w:line="276" w:lineRule="auto"/>
              <w:rPr>
                <w:lang w:val="en-US"/>
              </w:rPr>
            </w:pPr>
            <w:r w:rsidRPr="00B67ACC">
              <w:rPr>
                <w:lang w:val="en-US"/>
              </w:rPr>
              <w:t xml:space="preserve">On a cash accounting basis, the payments for a </w:t>
            </w:r>
            <w:proofErr w:type="spellStart"/>
            <w:r w:rsidRPr="00B67ACC">
              <w:rPr>
                <w:lang w:val="en-US"/>
              </w:rPr>
              <w:t>JobKeeper</w:t>
            </w:r>
            <w:proofErr w:type="spellEnd"/>
            <w:r w:rsidRPr="00B67ACC">
              <w:rPr>
                <w:lang w:val="en-US"/>
              </w:rPr>
              <w:t xml:space="preserve"> fortnight are generally derived when the entity received those payments.</w:t>
            </w:r>
          </w:p>
        </w:tc>
        <w:tc>
          <w:tcPr>
            <w:tcW w:w="1356" w:type="dxa"/>
          </w:tcPr>
          <w:p w14:paraId="097ACA85"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655F8BC8"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285AD92" w14:textId="1D82666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2B5622E6" w14:textId="77777777" w:rsidR="00B02841" w:rsidRPr="00B67ACC" w:rsidRDefault="00B02841" w:rsidP="00A33868">
            <w:pPr>
              <w:spacing w:after="200" w:line="276" w:lineRule="auto"/>
              <w:rPr>
                <w:lang w:val="en-US"/>
              </w:rPr>
            </w:pPr>
          </w:p>
        </w:tc>
        <w:tc>
          <w:tcPr>
            <w:tcW w:w="1356" w:type="dxa"/>
          </w:tcPr>
          <w:p w14:paraId="1C6AD4F0"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2E9F42BA"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7A6AF00" w14:textId="2ECFB416" w:rsidTr="00A80986">
        <w:tc>
          <w:tcPr>
            <w:cnfStyle w:val="001000000000" w:firstRow="0" w:lastRow="0" w:firstColumn="1" w:lastColumn="0" w:oddVBand="0" w:evenVBand="0" w:oddHBand="0" w:evenHBand="0" w:firstRowFirstColumn="0" w:firstRowLastColumn="0" w:lastRowFirstColumn="0" w:lastRowLastColumn="0"/>
            <w:tcW w:w="8526" w:type="dxa"/>
          </w:tcPr>
          <w:p w14:paraId="32AE1949" w14:textId="77777777" w:rsidR="00663EAE" w:rsidRDefault="00663EAE" w:rsidP="00A33868">
            <w:pPr>
              <w:spacing w:after="200" w:line="276" w:lineRule="auto"/>
              <w:rPr>
                <w:b w:val="0"/>
                <w:bCs w:val="0"/>
                <w:lang w:val="en-US"/>
              </w:rPr>
            </w:pPr>
          </w:p>
          <w:p w14:paraId="7603F107" w14:textId="77777777" w:rsidR="00663EAE" w:rsidRDefault="00663EAE" w:rsidP="00A33868">
            <w:pPr>
              <w:spacing w:after="200" w:line="276" w:lineRule="auto"/>
              <w:rPr>
                <w:b w:val="0"/>
                <w:bCs w:val="0"/>
                <w:lang w:val="en-US"/>
              </w:rPr>
            </w:pPr>
          </w:p>
          <w:p w14:paraId="7D606F9C" w14:textId="5C0CE6ED" w:rsidR="00B02841" w:rsidRPr="00B67ACC" w:rsidRDefault="00B02841" w:rsidP="00A33868">
            <w:pPr>
              <w:spacing w:after="200" w:line="276" w:lineRule="auto"/>
              <w:rPr>
                <w:b w:val="0"/>
                <w:bCs w:val="0"/>
                <w:lang w:val="en-US"/>
              </w:rPr>
            </w:pPr>
            <w:r w:rsidRPr="00B67ACC">
              <w:rPr>
                <w:lang w:val="en-US"/>
              </w:rPr>
              <w:lastRenderedPageBreak/>
              <w:t>CASHFLOW BOOST</w:t>
            </w:r>
          </w:p>
        </w:tc>
        <w:tc>
          <w:tcPr>
            <w:tcW w:w="1356" w:type="dxa"/>
          </w:tcPr>
          <w:p w14:paraId="11DBA5C2"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713C73A6"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6EC904AB" w14:textId="372DA855"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094929A" w14:textId="77777777" w:rsidR="00B02841" w:rsidRPr="00B67ACC" w:rsidRDefault="00B02841" w:rsidP="00A33868">
            <w:pPr>
              <w:spacing w:after="200" w:line="276" w:lineRule="auto"/>
              <w:rPr>
                <w:lang w:val="en-US"/>
              </w:rPr>
            </w:pPr>
            <w:r w:rsidRPr="00B67ACC">
              <w:rPr>
                <w:lang w:val="en-US"/>
              </w:rPr>
              <w:t>While a welcome cash injection for many businesses, any Cashflow Boost represents another unique transaction which will affect both your financial reporting and tax outcomes.</w:t>
            </w:r>
          </w:p>
        </w:tc>
        <w:tc>
          <w:tcPr>
            <w:tcW w:w="1356" w:type="dxa"/>
          </w:tcPr>
          <w:p w14:paraId="75E1804F"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6D9F96A0"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13D4A40A" w14:textId="1E62587C" w:rsidTr="00A80986">
        <w:tc>
          <w:tcPr>
            <w:cnfStyle w:val="001000000000" w:firstRow="0" w:lastRow="0" w:firstColumn="1" w:lastColumn="0" w:oddVBand="0" w:evenVBand="0" w:oddHBand="0" w:evenHBand="0" w:firstRowFirstColumn="0" w:firstRowLastColumn="0" w:lastRowFirstColumn="0" w:lastRowLastColumn="0"/>
            <w:tcW w:w="8526" w:type="dxa"/>
          </w:tcPr>
          <w:p w14:paraId="30C51573" w14:textId="77777777" w:rsidR="00B02841" w:rsidRPr="00B67ACC" w:rsidRDefault="00B02841" w:rsidP="00A33868">
            <w:pPr>
              <w:spacing w:after="200" w:line="276" w:lineRule="auto"/>
              <w:rPr>
                <w:lang w:val="en-US"/>
              </w:rPr>
            </w:pPr>
            <w:r w:rsidRPr="00B67ACC">
              <w:rPr>
                <w:lang w:val="en-US"/>
              </w:rPr>
              <w:t>Tax Planning Impact</w:t>
            </w:r>
          </w:p>
        </w:tc>
        <w:tc>
          <w:tcPr>
            <w:tcW w:w="1356" w:type="dxa"/>
          </w:tcPr>
          <w:p w14:paraId="2C756E71"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3DE9574D"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7456000B" w14:textId="3BC6FF09"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FA5BD24" w14:textId="77777777" w:rsidR="00B02841" w:rsidRPr="00B67ACC" w:rsidRDefault="00B02841" w:rsidP="00A33868">
            <w:pPr>
              <w:spacing w:after="200" w:line="276" w:lineRule="auto"/>
              <w:rPr>
                <w:lang w:val="en-US"/>
              </w:rPr>
            </w:pPr>
            <w:r w:rsidRPr="00B67ACC">
              <w:rPr>
                <w:lang w:val="en-US"/>
              </w:rPr>
              <w:t>Cashflow Boost payments are considered non-assessable, non-exempt income and are therefore not taxable.</w:t>
            </w:r>
          </w:p>
        </w:tc>
        <w:tc>
          <w:tcPr>
            <w:tcW w:w="1356" w:type="dxa"/>
          </w:tcPr>
          <w:p w14:paraId="0C08EECA"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C32E2D8"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6D66542D" w14:textId="27356BDC" w:rsidTr="00A80986">
        <w:tc>
          <w:tcPr>
            <w:cnfStyle w:val="001000000000" w:firstRow="0" w:lastRow="0" w:firstColumn="1" w:lastColumn="0" w:oddVBand="0" w:evenVBand="0" w:oddHBand="0" w:evenHBand="0" w:firstRowFirstColumn="0" w:firstRowLastColumn="0" w:lastRowFirstColumn="0" w:lastRowLastColumn="0"/>
            <w:tcW w:w="8526" w:type="dxa"/>
          </w:tcPr>
          <w:p w14:paraId="224C8A67" w14:textId="77777777" w:rsidR="00B02841" w:rsidRPr="00B67ACC" w:rsidRDefault="00B02841" w:rsidP="00A33868">
            <w:pPr>
              <w:spacing w:after="200" w:line="276" w:lineRule="auto"/>
              <w:rPr>
                <w:lang w:val="en-US"/>
              </w:rPr>
            </w:pPr>
            <w:r w:rsidRPr="00B67ACC">
              <w:rPr>
                <w:lang w:val="en-US"/>
              </w:rPr>
              <w:t>If a Cashflow Boost payment is received by a unit trust, it may result in the unitholder deriving a taxable capital gain, notwithstanding the Cashflow Boost being non-assessable, non-exempt income.</w:t>
            </w:r>
          </w:p>
        </w:tc>
        <w:tc>
          <w:tcPr>
            <w:tcW w:w="1356" w:type="dxa"/>
          </w:tcPr>
          <w:p w14:paraId="786F52CA"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777A645"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7BF51784" w14:textId="54328C9E"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9B83C7C" w14:textId="77777777" w:rsidR="00B02841" w:rsidRPr="00B67ACC" w:rsidRDefault="00B02841" w:rsidP="00A33868">
            <w:pPr>
              <w:spacing w:after="200" w:line="276" w:lineRule="auto"/>
              <w:rPr>
                <w:lang w:val="en-US"/>
              </w:rPr>
            </w:pPr>
            <w:r w:rsidRPr="00B67ACC">
              <w:rPr>
                <w:lang w:val="en-US"/>
              </w:rPr>
              <w:t>Accounting Impact</w:t>
            </w:r>
          </w:p>
        </w:tc>
        <w:tc>
          <w:tcPr>
            <w:tcW w:w="1356" w:type="dxa"/>
          </w:tcPr>
          <w:p w14:paraId="4F5349F8"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3249644A"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426323DC" w14:textId="44992B05" w:rsidTr="00A80986">
        <w:tc>
          <w:tcPr>
            <w:cnfStyle w:val="001000000000" w:firstRow="0" w:lastRow="0" w:firstColumn="1" w:lastColumn="0" w:oddVBand="0" w:evenVBand="0" w:oddHBand="0" w:evenHBand="0" w:firstRowFirstColumn="0" w:firstRowLastColumn="0" w:lastRowFirstColumn="0" w:lastRowLastColumn="0"/>
            <w:tcW w:w="8526" w:type="dxa"/>
          </w:tcPr>
          <w:p w14:paraId="0494252F" w14:textId="77777777" w:rsidR="00B02841" w:rsidRPr="00B67ACC" w:rsidRDefault="00B02841" w:rsidP="00A33868">
            <w:pPr>
              <w:spacing w:after="200" w:line="276" w:lineRule="auto"/>
              <w:rPr>
                <w:lang w:val="en-US"/>
              </w:rPr>
            </w:pPr>
            <w:r w:rsidRPr="00B67ACC">
              <w:rPr>
                <w:lang w:val="en-US"/>
              </w:rPr>
              <w:t xml:space="preserve">The Cashflow Boost is treated in a similar way to </w:t>
            </w:r>
            <w:proofErr w:type="spellStart"/>
            <w:r w:rsidRPr="00B67ACC">
              <w:rPr>
                <w:lang w:val="en-US"/>
              </w:rPr>
              <w:t>JobKeeper</w:t>
            </w:r>
            <w:proofErr w:type="spellEnd"/>
            <w:r w:rsidRPr="00B67ACC">
              <w:rPr>
                <w:lang w:val="en-US"/>
              </w:rPr>
              <w:t xml:space="preserve">. The grant income and reduction in PAYG liability should be </w:t>
            </w:r>
            <w:proofErr w:type="spellStart"/>
            <w:r w:rsidRPr="00B67ACC">
              <w:rPr>
                <w:lang w:val="en-US"/>
              </w:rPr>
              <w:t>recognised</w:t>
            </w:r>
            <w:proofErr w:type="spellEnd"/>
            <w:r w:rsidRPr="00B67ACC">
              <w:rPr>
                <w:lang w:val="en-US"/>
              </w:rPr>
              <w:t xml:space="preserve"> when there is reasonable assurance that conditions have been complied with.</w:t>
            </w:r>
          </w:p>
        </w:tc>
        <w:tc>
          <w:tcPr>
            <w:tcW w:w="1356" w:type="dxa"/>
          </w:tcPr>
          <w:p w14:paraId="2839066A"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3144B3D"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381A74A3" w14:textId="7C9736A0"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0639A11" w14:textId="77777777" w:rsidR="00B02841" w:rsidRPr="00B67ACC" w:rsidRDefault="00B02841" w:rsidP="00A33868">
            <w:pPr>
              <w:spacing w:after="200" w:line="276" w:lineRule="auto"/>
              <w:rPr>
                <w:b w:val="0"/>
                <w:bCs w:val="0"/>
                <w:lang w:val="en-US"/>
              </w:rPr>
            </w:pPr>
          </w:p>
        </w:tc>
        <w:tc>
          <w:tcPr>
            <w:tcW w:w="1356" w:type="dxa"/>
          </w:tcPr>
          <w:p w14:paraId="60C008D7"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5017A5AA"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218F7E1F" w14:textId="363B493E" w:rsidTr="00A80986">
        <w:tc>
          <w:tcPr>
            <w:cnfStyle w:val="001000000000" w:firstRow="0" w:lastRow="0" w:firstColumn="1" w:lastColumn="0" w:oddVBand="0" w:evenVBand="0" w:oddHBand="0" w:evenHBand="0" w:firstRowFirstColumn="0" w:firstRowLastColumn="0" w:lastRowFirstColumn="0" w:lastRowLastColumn="0"/>
            <w:tcW w:w="8526" w:type="dxa"/>
          </w:tcPr>
          <w:p w14:paraId="69F971CC" w14:textId="77777777" w:rsidR="00B02841" w:rsidRPr="00B67ACC" w:rsidRDefault="00B02841" w:rsidP="00A33868">
            <w:pPr>
              <w:spacing w:after="200" w:line="276" w:lineRule="auto"/>
              <w:rPr>
                <w:b w:val="0"/>
                <w:bCs w:val="0"/>
                <w:lang w:val="en-US"/>
              </w:rPr>
            </w:pPr>
            <w:r w:rsidRPr="00B67ACC">
              <w:rPr>
                <w:lang w:val="en-US"/>
              </w:rPr>
              <w:t>FRINGE BENEFITS TAX</w:t>
            </w:r>
          </w:p>
        </w:tc>
        <w:tc>
          <w:tcPr>
            <w:tcW w:w="1356" w:type="dxa"/>
          </w:tcPr>
          <w:p w14:paraId="5FE42929"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1B75AB3D"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510D751F" w14:textId="0C37033A"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8E62B07" w14:textId="77777777" w:rsidR="00B02841" w:rsidRPr="00B67ACC" w:rsidRDefault="00B02841" w:rsidP="00A33868">
            <w:pPr>
              <w:spacing w:after="200" w:line="276" w:lineRule="auto"/>
              <w:rPr>
                <w:lang w:val="en-US"/>
              </w:rPr>
            </w:pPr>
            <w:r w:rsidRPr="00B67ACC">
              <w:rPr>
                <w:lang w:val="en-US"/>
              </w:rPr>
              <w:t>Travel restrictions, mandatory workplace closures and limitations on employee and client entertainment may have had a significant impact on how you calculate your Fringe Benefits Tax (FBT) liability. Some businesses may see a notable decline in their FBT obligations, while others may have a significant increase in FBT payable.</w:t>
            </w:r>
          </w:p>
        </w:tc>
        <w:tc>
          <w:tcPr>
            <w:tcW w:w="1356" w:type="dxa"/>
          </w:tcPr>
          <w:p w14:paraId="1ACF9F8F"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35838729"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6959DE8B" w14:textId="11E5077D" w:rsidTr="00A80986">
        <w:tc>
          <w:tcPr>
            <w:cnfStyle w:val="001000000000" w:firstRow="0" w:lastRow="0" w:firstColumn="1" w:lastColumn="0" w:oddVBand="0" w:evenVBand="0" w:oddHBand="0" w:evenHBand="0" w:firstRowFirstColumn="0" w:firstRowLastColumn="0" w:lastRowFirstColumn="0" w:lastRowLastColumn="0"/>
            <w:tcW w:w="8526" w:type="dxa"/>
          </w:tcPr>
          <w:p w14:paraId="0C530E57" w14:textId="77777777" w:rsidR="00B02841" w:rsidRPr="00B67ACC" w:rsidRDefault="00B02841" w:rsidP="00A33868">
            <w:pPr>
              <w:spacing w:after="200" w:line="276" w:lineRule="auto"/>
              <w:rPr>
                <w:lang w:val="en-US"/>
              </w:rPr>
            </w:pPr>
            <w:r w:rsidRPr="00B67ACC">
              <w:rPr>
                <w:lang w:val="en-US"/>
              </w:rPr>
              <w:t xml:space="preserve">While the FBT year runs from 1 April to 31 March, you should review your FBT calculations and methodologies as part of your </w:t>
            </w:r>
            <w:proofErr w:type="spellStart"/>
            <w:r w:rsidRPr="00B67ACC">
              <w:rPr>
                <w:lang w:val="en-US"/>
              </w:rPr>
              <w:t>year end</w:t>
            </w:r>
            <w:proofErr w:type="spellEnd"/>
            <w:r w:rsidRPr="00B67ACC">
              <w:rPr>
                <w:lang w:val="en-US"/>
              </w:rPr>
              <w:t xml:space="preserve"> tax planning, because there may need to be major changes this year.</w:t>
            </w:r>
          </w:p>
        </w:tc>
        <w:tc>
          <w:tcPr>
            <w:tcW w:w="1356" w:type="dxa"/>
          </w:tcPr>
          <w:p w14:paraId="0164F205"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1A5D06DA"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BF212A3" w14:textId="7DDC94C3"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6DD1D06" w14:textId="77777777" w:rsidR="00663EAE" w:rsidRDefault="00663EAE" w:rsidP="00A33868">
            <w:pPr>
              <w:spacing w:after="200" w:line="276" w:lineRule="auto"/>
              <w:rPr>
                <w:b w:val="0"/>
                <w:bCs w:val="0"/>
                <w:lang w:val="en-US"/>
              </w:rPr>
            </w:pPr>
          </w:p>
          <w:p w14:paraId="37BB6A84" w14:textId="10429F12" w:rsidR="00B02841" w:rsidRPr="00B67ACC" w:rsidRDefault="00B02841" w:rsidP="00A33868">
            <w:pPr>
              <w:spacing w:after="200" w:line="276" w:lineRule="auto"/>
              <w:rPr>
                <w:lang w:val="en-US"/>
              </w:rPr>
            </w:pPr>
            <w:r w:rsidRPr="00B67ACC">
              <w:rPr>
                <w:lang w:val="en-US"/>
              </w:rPr>
              <w:lastRenderedPageBreak/>
              <w:t>Tax Planning Impact</w:t>
            </w:r>
          </w:p>
        </w:tc>
        <w:tc>
          <w:tcPr>
            <w:tcW w:w="1356" w:type="dxa"/>
          </w:tcPr>
          <w:p w14:paraId="195DCA6A"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1243E631"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21D7CD4D" w14:textId="51E2A843" w:rsidTr="00A80986">
        <w:tc>
          <w:tcPr>
            <w:cnfStyle w:val="001000000000" w:firstRow="0" w:lastRow="0" w:firstColumn="1" w:lastColumn="0" w:oddVBand="0" w:evenVBand="0" w:oddHBand="0" w:evenHBand="0" w:firstRowFirstColumn="0" w:firstRowLastColumn="0" w:lastRowFirstColumn="0" w:lastRowLastColumn="0"/>
            <w:tcW w:w="8526" w:type="dxa"/>
          </w:tcPr>
          <w:p w14:paraId="00C1B20A" w14:textId="77777777" w:rsidR="00B02841" w:rsidRPr="00B67ACC" w:rsidRDefault="00B02841" w:rsidP="00A33868">
            <w:pPr>
              <w:spacing w:after="200" w:line="276" w:lineRule="auto"/>
              <w:rPr>
                <w:lang w:val="en-US"/>
              </w:rPr>
            </w:pPr>
            <w:r w:rsidRPr="00B67ACC">
              <w:rPr>
                <w:lang w:val="en-US"/>
              </w:rPr>
              <w:t>In reviewing your FBT, some of the aspects you should consider include:</w:t>
            </w:r>
          </w:p>
        </w:tc>
        <w:tc>
          <w:tcPr>
            <w:tcW w:w="1356" w:type="dxa"/>
          </w:tcPr>
          <w:p w14:paraId="15341539"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7F5DF099"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6669986E" w14:textId="51E40AC0"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EEBC821" w14:textId="77777777" w:rsidR="00B02841" w:rsidRPr="00B67ACC" w:rsidRDefault="00B02841" w:rsidP="00A33868">
            <w:pPr>
              <w:spacing w:after="200" w:line="276" w:lineRule="auto"/>
              <w:rPr>
                <w:lang w:val="en-US"/>
              </w:rPr>
            </w:pPr>
            <w:r w:rsidRPr="00B67ACC">
              <w:rPr>
                <w:lang w:val="en-US"/>
              </w:rPr>
              <w:t xml:space="preserve">Cars and </w:t>
            </w:r>
            <w:proofErr w:type="spellStart"/>
            <w:r w:rsidRPr="00B67ACC">
              <w:rPr>
                <w:lang w:val="en-US"/>
              </w:rPr>
              <w:t>utes</w:t>
            </w:r>
            <w:proofErr w:type="spellEnd"/>
            <w:r w:rsidRPr="00B67ACC">
              <w:rPr>
                <w:lang w:val="en-US"/>
              </w:rPr>
              <w:t xml:space="preserve"> – Are company vehicles being used more, </w:t>
            </w:r>
            <w:proofErr w:type="gramStart"/>
            <w:r w:rsidRPr="00B67ACC">
              <w:rPr>
                <w:lang w:val="en-US"/>
              </w:rPr>
              <w:t>less</w:t>
            </w:r>
            <w:proofErr w:type="gramEnd"/>
            <w:r w:rsidRPr="00B67ACC">
              <w:rPr>
                <w:lang w:val="en-US"/>
              </w:rPr>
              <w:t xml:space="preserve"> or differently from their traditional usage patterns? Are logbooks still valid because the usage patterns have changed? The use of some vehicles may not have previously resulted in an FBT liability because the private use of the vehicle was considered “minor, infrequent and irregular”, is this still the case?</w:t>
            </w:r>
          </w:p>
        </w:tc>
        <w:tc>
          <w:tcPr>
            <w:tcW w:w="1356" w:type="dxa"/>
          </w:tcPr>
          <w:p w14:paraId="5C148EE0"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347D5A9E"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15AE81DB" w14:textId="480A2455" w:rsidTr="00A80986">
        <w:tc>
          <w:tcPr>
            <w:cnfStyle w:val="001000000000" w:firstRow="0" w:lastRow="0" w:firstColumn="1" w:lastColumn="0" w:oddVBand="0" w:evenVBand="0" w:oddHBand="0" w:evenHBand="0" w:firstRowFirstColumn="0" w:firstRowLastColumn="0" w:lastRowFirstColumn="0" w:lastRowLastColumn="0"/>
            <w:tcW w:w="8526" w:type="dxa"/>
          </w:tcPr>
          <w:p w14:paraId="7C098E8C" w14:textId="77777777" w:rsidR="00B02841" w:rsidRPr="00B67ACC" w:rsidRDefault="00B02841" w:rsidP="00A33868">
            <w:pPr>
              <w:spacing w:after="200" w:line="276" w:lineRule="auto"/>
              <w:rPr>
                <w:lang w:val="en-US"/>
              </w:rPr>
            </w:pPr>
            <w:r w:rsidRPr="00B67ACC">
              <w:rPr>
                <w:lang w:val="en-US"/>
              </w:rPr>
              <w:t>Entertainment – with the possible reduction in entertainment expenditure during the current FBT year, you may wish to consider whether it is worthwhile and administratively possible to keep more detailed records of entertainment benefits, to allow a greater choice of which method to use to calculate fringe benefits tax payable on entertainment.</w:t>
            </w:r>
          </w:p>
        </w:tc>
        <w:tc>
          <w:tcPr>
            <w:tcW w:w="1356" w:type="dxa"/>
          </w:tcPr>
          <w:p w14:paraId="4D00A7CB"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820AEEA"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56174AA1" w14:textId="28E31F46"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2B85EBC" w14:textId="77777777" w:rsidR="00B02841" w:rsidRPr="00B67ACC" w:rsidRDefault="00B02841" w:rsidP="00A33868">
            <w:pPr>
              <w:spacing w:after="200" w:line="276" w:lineRule="auto"/>
              <w:rPr>
                <w:lang w:val="en-US"/>
              </w:rPr>
            </w:pPr>
          </w:p>
        </w:tc>
        <w:tc>
          <w:tcPr>
            <w:tcW w:w="1356" w:type="dxa"/>
          </w:tcPr>
          <w:p w14:paraId="720C8376"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2C339939" w14:textId="77777777" w:rsidR="00B02841" w:rsidRPr="00B67ACC" w:rsidRDefault="00B02841" w:rsidP="00A33868">
            <w:pPr>
              <w:spacing w:after="2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8AB64DA" w14:textId="5289DC8C" w:rsidTr="00A80986">
        <w:tc>
          <w:tcPr>
            <w:cnfStyle w:val="001000000000" w:firstRow="0" w:lastRow="0" w:firstColumn="1" w:lastColumn="0" w:oddVBand="0" w:evenVBand="0" w:oddHBand="0" w:evenHBand="0" w:firstRowFirstColumn="0" w:firstRowLastColumn="0" w:lastRowFirstColumn="0" w:lastRowLastColumn="0"/>
            <w:tcW w:w="8526" w:type="dxa"/>
          </w:tcPr>
          <w:p w14:paraId="5696F7C0" w14:textId="77777777" w:rsidR="00B02841" w:rsidRPr="00B67ACC" w:rsidRDefault="00B02841" w:rsidP="00A33868">
            <w:pPr>
              <w:spacing w:after="200" w:line="276" w:lineRule="auto"/>
              <w:rPr>
                <w:b w:val="0"/>
                <w:bCs w:val="0"/>
                <w:lang w:val="en-US"/>
              </w:rPr>
            </w:pPr>
          </w:p>
        </w:tc>
        <w:tc>
          <w:tcPr>
            <w:tcW w:w="1356" w:type="dxa"/>
          </w:tcPr>
          <w:p w14:paraId="05ADF543"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0DDED395" w14:textId="77777777" w:rsidR="00B02841" w:rsidRPr="00B67ACC" w:rsidRDefault="00B02841" w:rsidP="00A33868">
            <w:pPr>
              <w:spacing w:after="200" w:line="276" w:lineRule="auto"/>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2397D388" w14:textId="3867C41C"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248F2CF" w14:textId="77777777" w:rsidR="00B02841" w:rsidRPr="00B67ACC" w:rsidRDefault="00B02841" w:rsidP="00A33868">
            <w:pPr>
              <w:rPr>
                <w:b w:val="0"/>
                <w:bCs w:val="0"/>
                <w:lang w:val="en-US"/>
              </w:rPr>
            </w:pPr>
          </w:p>
        </w:tc>
        <w:tc>
          <w:tcPr>
            <w:tcW w:w="1356" w:type="dxa"/>
          </w:tcPr>
          <w:p w14:paraId="0185C302"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7FDB3CDC"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5665B06B" w14:textId="18BACA32" w:rsidTr="00A80986">
        <w:tc>
          <w:tcPr>
            <w:cnfStyle w:val="001000000000" w:firstRow="0" w:lastRow="0" w:firstColumn="1" w:lastColumn="0" w:oddVBand="0" w:evenVBand="0" w:oddHBand="0" w:evenHBand="0" w:firstRowFirstColumn="0" w:firstRowLastColumn="0" w:lastRowFirstColumn="0" w:lastRowLastColumn="0"/>
            <w:tcW w:w="8526" w:type="dxa"/>
          </w:tcPr>
          <w:p w14:paraId="129AC434" w14:textId="77777777" w:rsidR="00B02841" w:rsidRPr="00B67ACC" w:rsidRDefault="00B02841" w:rsidP="00A33868">
            <w:pPr>
              <w:pStyle w:val="ListParagraph"/>
              <w:numPr>
                <w:ilvl w:val="0"/>
                <w:numId w:val="2"/>
              </w:numPr>
              <w:rPr>
                <w:rFonts w:eastAsia="Times New Roman"/>
                <w:b w:val="0"/>
                <w:bCs w:val="0"/>
                <w:u w:val="single"/>
                <w:lang w:val="en-US"/>
              </w:rPr>
            </w:pPr>
            <w:r w:rsidRPr="00B67ACC">
              <w:rPr>
                <w:rFonts w:eastAsia="Times New Roman"/>
                <w:u w:val="single"/>
                <w:lang w:val="en-US"/>
              </w:rPr>
              <w:t>INDIVIDUAL TAX PREPARATION CONSIDERATIONS</w:t>
            </w:r>
          </w:p>
        </w:tc>
        <w:tc>
          <w:tcPr>
            <w:tcW w:w="1356" w:type="dxa"/>
          </w:tcPr>
          <w:p w14:paraId="49FC17E5"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b/>
                <w:bCs/>
                <w:u w:val="single"/>
                <w:lang w:val="en-US"/>
              </w:rPr>
            </w:pPr>
          </w:p>
        </w:tc>
        <w:tc>
          <w:tcPr>
            <w:tcW w:w="4508" w:type="dxa"/>
          </w:tcPr>
          <w:p w14:paraId="50EBA6D2" w14:textId="77777777" w:rsidR="00B02841" w:rsidRPr="00B67ACC" w:rsidRDefault="00B02841" w:rsidP="00B67ACC">
            <w:pPr>
              <w:cnfStyle w:val="000000000000" w:firstRow="0" w:lastRow="0" w:firstColumn="0" w:lastColumn="0" w:oddVBand="0" w:evenVBand="0" w:oddHBand="0" w:evenHBand="0" w:firstRowFirstColumn="0" w:firstRowLastColumn="0" w:lastRowFirstColumn="0" w:lastRowLastColumn="0"/>
              <w:rPr>
                <w:rFonts w:eastAsia="Times New Roman"/>
                <w:b/>
                <w:bCs/>
                <w:u w:val="single"/>
                <w:lang w:val="en-US"/>
              </w:rPr>
            </w:pPr>
          </w:p>
        </w:tc>
      </w:tr>
      <w:tr w:rsidR="00B02841" w:rsidRPr="00B67ACC" w14:paraId="77583D85" w14:textId="7B6BAB24"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62DD530" w14:textId="77777777" w:rsidR="00B02841" w:rsidRPr="00B67ACC" w:rsidRDefault="00B02841" w:rsidP="00A33868">
            <w:pPr>
              <w:rPr>
                <w:lang w:val="en-US"/>
              </w:rPr>
            </w:pPr>
            <w:r w:rsidRPr="00B67ACC">
              <w:rPr>
                <w:lang w:val="en-US"/>
              </w:rPr>
              <w:t>The following tax planning measures should be considered in respect of your own individual circumstances:</w:t>
            </w:r>
          </w:p>
        </w:tc>
        <w:tc>
          <w:tcPr>
            <w:tcW w:w="1356" w:type="dxa"/>
          </w:tcPr>
          <w:p w14:paraId="594ECB1A"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6C9170A6"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3288DFFF" w14:textId="229B71CA" w:rsidTr="00A80986">
        <w:tc>
          <w:tcPr>
            <w:cnfStyle w:val="001000000000" w:firstRow="0" w:lastRow="0" w:firstColumn="1" w:lastColumn="0" w:oddVBand="0" w:evenVBand="0" w:oddHBand="0" w:evenHBand="0" w:firstRowFirstColumn="0" w:firstRowLastColumn="0" w:lastRowFirstColumn="0" w:lastRowLastColumn="0"/>
            <w:tcW w:w="8526" w:type="dxa"/>
          </w:tcPr>
          <w:p w14:paraId="0F3D022B" w14:textId="77777777" w:rsidR="00B02841" w:rsidRPr="00B67ACC" w:rsidRDefault="00B02841" w:rsidP="00A33868">
            <w:pPr>
              <w:rPr>
                <w:b w:val="0"/>
                <w:bCs w:val="0"/>
                <w:lang w:val="en-US"/>
              </w:rPr>
            </w:pPr>
          </w:p>
        </w:tc>
        <w:tc>
          <w:tcPr>
            <w:tcW w:w="1356" w:type="dxa"/>
          </w:tcPr>
          <w:p w14:paraId="30095CB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406911FF"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2BF52331" w14:textId="19E445A5"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48061234" w14:textId="77777777" w:rsidR="00B02841" w:rsidRPr="00B67ACC" w:rsidRDefault="00B02841" w:rsidP="00A33868">
            <w:pPr>
              <w:rPr>
                <w:b w:val="0"/>
                <w:bCs w:val="0"/>
                <w:lang w:val="en-US"/>
              </w:rPr>
            </w:pPr>
            <w:r w:rsidRPr="00B67ACC">
              <w:rPr>
                <w:lang w:val="en-US"/>
              </w:rPr>
              <w:t xml:space="preserve">Salary </w:t>
            </w:r>
            <w:proofErr w:type="gramStart"/>
            <w:r w:rsidRPr="00B67ACC">
              <w:rPr>
                <w:lang w:val="en-US"/>
              </w:rPr>
              <w:t>sacrifice</w:t>
            </w:r>
            <w:proofErr w:type="gramEnd"/>
            <w:r w:rsidRPr="00B67ACC">
              <w:rPr>
                <w:lang w:val="en-US"/>
              </w:rPr>
              <w:t xml:space="preserve"> arrangements</w:t>
            </w:r>
          </w:p>
        </w:tc>
        <w:tc>
          <w:tcPr>
            <w:tcW w:w="1356" w:type="dxa"/>
          </w:tcPr>
          <w:p w14:paraId="5946FF2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655094E5"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0AFF998A" w14:textId="5F6CF9BE" w:rsidTr="00A80986">
        <w:tc>
          <w:tcPr>
            <w:cnfStyle w:val="001000000000" w:firstRow="0" w:lastRow="0" w:firstColumn="1" w:lastColumn="0" w:oddVBand="0" w:evenVBand="0" w:oddHBand="0" w:evenHBand="0" w:firstRowFirstColumn="0" w:firstRowLastColumn="0" w:lastRowFirstColumn="0" w:lastRowLastColumn="0"/>
            <w:tcW w:w="8526" w:type="dxa"/>
          </w:tcPr>
          <w:p w14:paraId="7653E185" w14:textId="77777777" w:rsidR="00B02841" w:rsidRPr="00B67ACC" w:rsidRDefault="00B02841" w:rsidP="00A33868">
            <w:pPr>
              <w:rPr>
                <w:lang w:val="en-US"/>
              </w:rPr>
            </w:pPr>
            <w:r w:rsidRPr="00B67ACC">
              <w:rPr>
                <w:lang w:val="en-US"/>
              </w:rPr>
              <w:t xml:space="preserve">If employed, you may wish to review your remuneration arrangements with your employer and forego future gross salary in return for receiving exempt or concessionally taxed fringe benefits and/or making additional superannuation contributions under a valid salary sacrifice arrangement. </w:t>
            </w:r>
          </w:p>
        </w:tc>
        <w:tc>
          <w:tcPr>
            <w:tcW w:w="1356" w:type="dxa"/>
          </w:tcPr>
          <w:p w14:paraId="7FCE4B26"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72B5E51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696E0369" w14:textId="47224885"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AB1FE1B" w14:textId="77777777" w:rsidR="00B02841" w:rsidRPr="00B67ACC" w:rsidRDefault="00B02841" w:rsidP="00A33868">
            <w:pPr>
              <w:rPr>
                <w:lang w:val="en-US"/>
              </w:rPr>
            </w:pPr>
          </w:p>
        </w:tc>
        <w:tc>
          <w:tcPr>
            <w:tcW w:w="1356" w:type="dxa"/>
          </w:tcPr>
          <w:p w14:paraId="504006A2"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0944F3C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0B440EC" w14:textId="3547F9FF" w:rsidTr="00A80986">
        <w:tc>
          <w:tcPr>
            <w:cnfStyle w:val="001000000000" w:firstRow="0" w:lastRow="0" w:firstColumn="1" w:lastColumn="0" w:oddVBand="0" w:evenVBand="0" w:oddHBand="0" w:evenHBand="0" w:firstRowFirstColumn="0" w:firstRowLastColumn="0" w:lastRowFirstColumn="0" w:lastRowLastColumn="0"/>
            <w:tcW w:w="8526" w:type="dxa"/>
          </w:tcPr>
          <w:p w14:paraId="3C85B66D" w14:textId="77777777" w:rsidR="00B02841" w:rsidRPr="00B67ACC" w:rsidRDefault="00B02841" w:rsidP="00A33868">
            <w:pPr>
              <w:rPr>
                <w:lang w:val="en-US"/>
              </w:rPr>
            </w:pPr>
            <w:r w:rsidRPr="00B67ACC">
              <w:rPr>
                <w:lang w:val="en-US"/>
              </w:rPr>
              <w:t>Alternatively, an employee can claim a deduction for personal superannuation contributions provided certain eligibility conditions are met including the requirement to provide a notice of your intention to claim such a contribution with your complying superannuation fund. It is important to make sure that any additional employer superannuation contributions made in lieu of gross salary do not result in the total of compulsory superannuation contributions and salary sacrificed contributions do not exceed the concessional contributions cap which is $25,000 for the 2021 year.</w:t>
            </w:r>
          </w:p>
        </w:tc>
        <w:tc>
          <w:tcPr>
            <w:tcW w:w="1356" w:type="dxa"/>
          </w:tcPr>
          <w:p w14:paraId="39871FF3"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254E7F09"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7731F624" w14:textId="4F6C361D"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4E2B88F5" w14:textId="77777777" w:rsidR="00B02841" w:rsidRPr="00B67ACC" w:rsidRDefault="00B02841" w:rsidP="00A33868">
            <w:pPr>
              <w:rPr>
                <w:lang w:val="en-US"/>
              </w:rPr>
            </w:pPr>
          </w:p>
        </w:tc>
        <w:tc>
          <w:tcPr>
            <w:tcW w:w="1356" w:type="dxa"/>
          </w:tcPr>
          <w:p w14:paraId="599380DF"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0564D912"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3009828E" w14:textId="08E8358C" w:rsidTr="00A80986">
        <w:tc>
          <w:tcPr>
            <w:cnfStyle w:val="001000000000" w:firstRow="0" w:lastRow="0" w:firstColumn="1" w:lastColumn="0" w:oddVBand="0" w:evenVBand="0" w:oddHBand="0" w:evenHBand="0" w:firstRowFirstColumn="0" w:firstRowLastColumn="0" w:lastRowFirstColumn="0" w:lastRowLastColumn="0"/>
            <w:tcW w:w="8526" w:type="dxa"/>
          </w:tcPr>
          <w:p w14:paraId="52BCCCCC" w14:textId="77777777" w:rsidR="00B02841" w:rsidRPr="00B67ACC" w:rsidRDefault="00B02841" w:rsidP="00A33868">
            <w:pPr>
              <w:rPr>
                <w:lang w:val="en-US"/>
              </w:rPr>
            </w:pPr>
            <w:r w:rsidRPr="00B67ACC">
              <w:rPr>
                <w:lang w:val="en-US"/>
              </w:rPr>
              <w:t xml:space="preserve">You should consult our licensed financial adviser planner to consider the merits of exploring these options. </w:t>
            </w:r>
          </w:p>
        </w:tc>
        <w:tc>
          <w:tcPr>
            <w:tcW w:w="1356" w:type="dxa"/>
          </w:tcPr>
          <w:p w14:paraId="15A576E0"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F5B0391"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402DE98A" w14:textId="71A4A4FE"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7E25042" w14:textId="77777777" w:rsidR="00B02841" w:rsidRPr="00B67ACC" w:rsidRDefault="00B02841" w:rsidP="00A33868">
            <w:pPr>
              <w:rPr>
                <w:lang w:val="en-US"/>
              </w:rPr>
            </w:pPr>
          </w:p>
        </w:tc>
        <w:tc>
          <w:tcPr>
            <w:tcW w:w="1356" w:type="dxa"/>
          </w:tcPr>
          <w:p w14:paraId="0C635C9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45AA3E0"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10755E64" w14:textId="344DAF1A" w:rsidTr="00A80986">
        <w:tc>
          <w:tcPr>
            <w:cnfStyle w:val="001000000000" w:firstRow="0" w:lastRow="0" w:firstColumn="1" w:lastColumn="0" w:oddVBand="0" w:evenVBand="0" w:oddHBand="0" w:evenHBand="0" w:firstRowFirstColumn="0" w:firstRowLastColumn="0" w:lastRowFirstColumn="0" w:lastRowLastColumn="0"/>
            <w:tcW w:w="8526" w:type="dxa"/>
          </w:tcPr>
          <w:p w14:paraId="3C652CD3" w14:textId="77777777" w:rsidR="00B02841" w:rsidRPr="00B67ACC" w:rsidRDefault="00B02841" w:rsidP="00A33868">
            <w:pPr>
              <w:rPr>
                <w:lang w:val="en-US"/>
              </w:rPr>
            </w:pPr>
          </w:p>
        </w:tc>
        <w:tc>
          <w:tcPr>
            <w:tcW w:w="1356" w:type="dxa"/>
          </w:tcPr>
          <w:p w14:paraId="179FD306"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23435369"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45EC040F" w14:textId="68E3AA40"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1B2DD9A" w14:textId="77777777" w:rsidR="00B02841" w:rsidRPr="00B67ACC" w:rsidRDefault="00B02841" w:rsidP="00A33868">
            <w:pPr>
              <w:rPr>
                <w:b w:val="0"/>
                <w:bCs w:val="0"/>
                <w:lang w:val="en-US"/>
              </w:rPr>
            </w:pPr>
            <w:r w:rsidRPr="00B67ACC">
              <w:rPr>
                <w:lang w:val="en-US"/>
              </w:rPr>
              <w:t>Capital gains tax planning</w:t>
            </w:r>
          </w:p>
        </w:tc>
        <w:tc>
          <w:tcPr>
            <w:tcW w:w="1356" w:type="dxa"/>
          </w:tcPr>
          <w:p w14:paraId="6C0D5ED4"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0107418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4D7F04B7" w14:textId="0E6A9212" w:rsidTr="00A80986">
        <w:tc>
          <w:tcPr>
            <w:cnfStyle w:val="001000000000" w:firstRow="0" w:lastRow="0" w:firstColumn="1" w:lastColumn="0" w:oddVBand="0" w:evenVBand="0" w:oddHBand="0" w:evenHBand="0" w:firstRowFirstColumn="0" w:firstRowLastColumn="0" w:lastRowFirstColumn="0" w:lastRowLastColumn="0"/>
            <w:tcW w:w="8526" w:type="dxa"/>
          </w:tcPr>
          <w:p w14:paraId="0A648640" w14:textId="77777777" w:rsidR="00B02841" w:rsidRPr="00B67ACC" w:rsidRDefault="00B02841" w:rsidP="00A33868">
            <w:pPr>
              <w:rPr>
                <w:lang w:val="en-US"/>
              </w:rPr>
            </w:pPr>
            <w:r w:rsidRPr="00B67ACC">
              <w:rPr>
                <w:lang w:val="en-US"/>
              </w:rPr>
              <w:t xml:space="preserve">Careful planning should be undertaken in planning the timing of any CGT event in respect of the disposal of appreciating assets which may trigger a capital gain. In this context, it is important to </w:t>
            </w:r>
            <w:proofErr w:type="spellStart"/>
            <w:r w:rsidRPr="00B67ACC">
              <w:rPr>
                <w:lang w:val="en-US"/>
              </w:rPr>
              <w:t>recognise</w:t>
            </w:r>
            <w:proofErr w:type="spellEnd"/>
            <w:r w:rsidRPr="00B67ACC">
              <w:rPr>
                <w:lang w:val="en-US"/>
              </w:rPr>
              <w:t xml:space="preserve"> that CGT is triggered when you </w:t>
            </w:r>
            <w:proofErr w:type="gramStart"/>
            <w:r w:rsidRPr="00B67ACC">
              <w:rPr>
                <w:lang w:val="en-US"/>
              </w:rPr>
              <w:t>enter into</w:t>
            </w:r>
            <w:proofErr w:type="gramEnd"/>
            <w:r w:rsidRPr="00B67ACC">
              <w:rPr>
                <w:lang w:val="en-US"/>
              </w:rPr>
              <w:t xml:space="preserve"> a contract for the sale of a CGT asset rather than on its settlement which is particularly important where the entry and settlement of the contract straddle year-end. </w:t>
            </w:r>
          </w:p>
        </w:tc>
        <w:tc>
          <w:tcPr>
            <w:tcW w:w="1356" w:type="dxa"/>
          </w:tcPr>
          <w:p w14:paraId="77086EA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297279D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0CEF576C" w14:textId="27B8B5B0"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CE4B48D" w14:textId="77777777" w:rsidR="00B02841" w:rsidRPr="00B67ACC" w:rsidRDefault="00B02841" w:rsidP="00A33868">
            <w:pPr>
              <w:rPr>
                <w:lang w:val="en-US"/>
              </w:rPr>
            </w:pPr>
          </w:p>
        </w:tc>
        <w:tc>
          <w:tcPr>
            <w:tcW w:w="1356" w:type="dxa"/>
          </w:tcPr>
          <w:p w14:paraId="7E9FEDC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741EDFD6"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03D6CF98" w14:textId="5F7E1475" w:rsidTr="00A80986">
        <w:tc>
          <w:tcPr>
            <w:cnfStyle w:val="001000000000" w:firstRow="0" w:lastRow="0" w:firstColumn="1" w:lastColumn="0" w:oddVBand="0" w:evenVBand="0" w:oddHBand="0" w:evenHBand="0" w:firstRowFirstColumn="0" w:firstRowLastColumn="0" w:lastRowFirstColumn="0" w:lastRowLastColumn="0"/>
            <w:tcW w:w="8526" w:type="dxa"/>
          </w:tcPr>
          <w:p w14:paraId="54F987AD" w14:textId="77777777" w:rsidR="00B02841" w:rsidRPr="00B67ACC" w:rsidRDefault="00B02841" w:rsidP="00A33868">
            <w:pPr>
              <w:rPr>
                <w:lang w:val="en-US"/>
              </w:rPr>
            </w:pPr>
            <w:r w:rsidRPr="00B67ACC">
              <w:rPr>
                <w:lang w:val="en-US"/>
              </w:rPr>
              <w:t xml:space="preserve">In these circumstances, it may be preferable for a cash flow perspective to defer the sale of the CGT asset to the subsequent year where other relief may be available such as a capital loss sold on another asset. </w:t>
            </w:r>
          </w:p>
        </w:tc>
        <w:tc>
          <w:tcPr>
            <w:tcW w:w="1356" w:type="dxa"/>
          </w:tcPr>
          <w:p w14:paraId="22817A33"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2E3AA8B"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44EA8B1F" w14:textId="73124865"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2E6A23B" w14:textId="77777777" w:rsidR="00B02841" w:rsidRPr="00B67ACC" w:rsidRDefault="00B02841" w:rsidP="00A33868">
            <w:pPr>
              <w:rPr>
                <w:lang w:val="en-US"/>
              </w:rPr>
            </w:pPr>
          </w:p>
        </w:tc>
        <w:tc>
          <w:tcPr>
            <w:tcW w:w="1356" w:type="dxa"/>
          </w:tcPr>
          <w:p w14:paraId="2AFF5CC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1F7049D9"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057BC10F" w14:textId="31CDDDAE" w:rsidTr="00A80986">
        <w:tc>
          <w:tcPr>
            <w:cnfStyle w:val="001000000000" w:firstRow="0" w:lastRow="0" w:firstColumn="1" w:lastColumn="0" w:oddVBand="0" w:evenVBand="0" w:oddHBand="0" w:evenHBand="0" w:firstRowFirstColumn="0" w:firstRowLastColumn="0" w:lastRowFirstColumn="0" w:lastRowLastColumn="0"/>
            <w:tcW w:w="8526" w:type="dxa"/>
          </w:tcPr>
          <w:p w14:paraId="74E80E5B" w14:textId="77777777" w:rsidR="00B02841" w:rsidRPr="00B67ACC" w:rsidRDefault="00B02841" w:rsidP="00A33868">
            <w:pPr>
              <w:rPr>
                <w:lang w:val="en-US"/>
              </w:rPr>
            </w:pPr>
            <w:r w:rsidRPr="00B67ACC">
              <w:rPr>
                <w:lang w:val="en-US"/>
              </w:rPr>
              <w:t xml:space="preserve">However, it is important to note that Taxation Ruling TR 2008/1 provides that an asset sold under a ‘wash sale’ to a related entity to generate a capital or revenue loss to reduce a capital gain will result in the loss being cancelled under the general anti-avoidance provisions of Part IVA of the ITAA 1936 where there has been no significant change in the taxpayer’s economic exposure to the asset. </w:t>
            </w:r>
          </w:p>
        </w:tc>
        <w:tc>
          <w:tcPr>
            <w:tcW w:w="1356" w:type="dxa"/>
          </w:tcPr>
          <w:p w14:paraId="15AEC15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1BE1981"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505A5DFA" w14:textId="34E533AB"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7AA03A2" w14:textId="77777777" w:rsidR="00B02841" w:rsidRPr="00B67ACC" w:rsidRDefault="00B02841" w:rsidP="00A33868">
            <w:pPr>
              <w:rPr>
                <w:lang w:val="en-US"/>
              </w:rPr>
            </w:pPr>
          </w:p>
        </w:tc>
        <w:tc>
          <w:tcPr>
            <w:tcW w:w="1356" w:type="dxa"/>
          </w:tcPr>
          <w:p w14:paraId="74E196E4"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7FBFDBD"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286A11B8" w14:textId="79421499" w:rsidTr="00A80986">
        <w:tc>
          <w:tcPr>
            <w:cnfStyle w:val="001000000000" w:firstRow="0" w:lastRow="0" w:firstColumn="1" w:lastColumn="0" w:oddVBand="0" w:evenVBand="0" w:oddHBand="0" w:evenHBand="0" w:firstRowFirstColumn="0" w:firstRowLastColumn="0" w:lastRowFirstColumn="0" w:lastRowLastColumn="0"/>
            <w:tcW w:w="8526" w:type="dxa"/>
          </w:tcPr>
          <w:p w14:paraId="35D4310A" w14:textId="77777777" w:rsidR="00B02841" w:rsidRPr="00B67ACC" w:rsidRDefault="00B02841" w:rsidP="00A33868">
            <w:pPr>
              <w:rPr>
                <w:lang w:val="en-US"/>
              </w:rPr>
            </w:pPr>
            <w:r w:rsidRPr="00B67ACC">
              <w:rPr>
                <w:lang w:val="en-US"/>
              </w:rPr>
              <w:t xml:space="preserve">Care should also be taken to ensure that an eligible asset is retained for the 12-month holding period required under the CGT discount, and to </w:t>
            </w:r>
            <w:proofErr w:type="spellStart"/>
            <w:r w:rsidRPr="00B67ACC">
              <w:rPr>
                <w:lang w:val="en-US"/>
              </w:rPr>
              <w:t>recognise</w:t>
            </w:r>
            <w:proofErr w:type="spellEnd"/>
            <w:r w:rsidRPr="00B67ACC">
              <w:rPr>
                <w:lang w:val="en-US"/>
              </w:rPr>
              <w:t xml:space="preserve"> that the CGT discount is not available to the extent that any capital gain accrued after 8 May 2012 and you were a foreign resident or temporary resident at any time after that date.</w:t>
            </w:r>
          </w:p>
        </w:tc>
        <w:tc>
          <w:tcPr>
            <w:tcW w:w="1356" w:type="dxa"/>
          </w:tcPr>
          <w:p w14:paraId="375B1F0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771D22B9"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EAA832A" w14:textId="33C9F7D6"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8368575" w14:textId="77777777" w:rsidR="00B02841" w:rsidRPr="00B67ACC" w:rsidRDefault="00B02841" w:rsidP="00A33868">
            <w:pPr>
              <w:rPr>
                <w:lang w:val="en-US"/>
              </w:rPr>
            </w:pPr>
          </w:p>
        </w:tc>
        <w:tc>
          <w:tcPr>
            <w:tcW w:w="1356" w:type="dxa"/>
          </w:tcPr>
          <w:p w14:paraId="7B8CE345"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6635A47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0C0F5D46" w14:textId="32F3F76C" w:rsidTr="00A80986">
        <w:tc>
          <w:tcPr>
            <w:cnfStyle w:val="001000000000" w:firstRow="0" w:lastRow="0" w:firstColumn="1" w:lastColumn="0" w:oddVBand="0" w:evenVBand="0" w:oddHBand="0" w:evenHBand="0" w:firstRowFirstColumn="0" w:firstRowLastColumn="0" w:lastRowFirstColumn="0" w:lastRowLastColumn="0"/>
            <w:tcW w:w="8526" w:type="dxa"/>
          </w:tcPr>
          <w:p w14:paraId="5E76BBCC" w14:textId="77777777" w:rsidR="00B02841" w:rsidRPr="00B67ACC" w:rsidRDefault="00B02841" w:rsidP="00A33868">
            <w:pPr>
              <w:rPr>
                <w:b w:val="0"/>
                <w:bCs w:val="0"/>
                <w:lang w:val="en-US"/>
              </w:rPr>
            </w:pPr>
          </w:p>
        </w:tc>
        <w:tc>
          <w:tcPr>
            <w:tcW w:w="1356" w:type="dxa"/>
          </w:tcPr>
          <w:p w14:paraId="4C5A9742"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5467C3E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18DC2F48" w14:textId="2BD41ED6"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447A09F1" w14:textId="77777777" w:rsidR="00B02841" w:rsidRPr="00B67ACC" w:rsidRDefault="00B02841" w:rsidP="00A33868">
            <w:pPr>
              <w:rPr>
                <w:b w:val="0"/>
                <w:bCs w:val="0"/>
                <w:lang w:val="en-US"/>
              </w:rPr>
            </w:pPr>
            <w:r w:rsidRPr="00B67ACC">
              <w:rPr>
                <w:lang w:val="en-US"/>
              </w:rPr>
              <w:t>Work-related deductions</w:t>
            </w:r>
          </w:p>
        </w:tc>
        <w:tc>
          <w:tcPr>
            <w:tcW w:w="1356" w:type="dxa"/>
          </w:tcPr>
          <w:p w14:paraId="502C7AB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03AFB304"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13CF6887" w14:textId="06734792" w:rsidTr="00A80986">
        <w:tc>
          <w:tcPr>
            <w:cnfStyle w:val="001000000000" w:firstRow="0" w:lastRow="0" w:firstColumn="1" w:lastColumn="0" w:oddVBand="0" w:evenVBand="0" w:oddHBand="0" w:evenHBand="0" w:firstRowFirstColumn="0" w:firstRowLastColumn="0" w:lastRowFirstColumn="0" w:lastRowLastColumn="0"/>
            <w:tcW w:w="8526" w:type="dxa"/>
          </w:tcPr>
          <w:p w14:paraId="520E90A2" w14:textId="77777777" w:rsidR="00B02841" w:rsidRPr="00B67ACC" w:rsidRDefault="00B02841" w:rsidP="00A33868">
            <w:pPr>
              <w:rPr>
                <w:lang w:val="en-US"/>
              </w:rPr>
            </w:pPr>
            <w:r w:rsidRPr="00B67ACC">
              <w:rPr>
                <w:lang w:val="en-US"/>
              </w:rPr>
              <w:t xml:space="preserve">You should ensure that any non-reimbursed claims for work-related, car and travel expenses are correctly allowable on the basis that such expenses were incurred in gaining or producing salary and wages income or other payments subject to the PAYG withholding regime, including any work-related claims below $300. </w:t>
            </w:r>
          </w:p>
        </w:tc>
        <w:tc>
          <w:tcPr>
            <w:tcW w:w="1356" w:type="dxa"/>
          </w:tcPr>
          <w:p w14:paraId="20F9B11B"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F8D587A"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1EFA9EC4" w14:textId="3C87E8C8"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6E9B612" w14:textId="77777777" w:rsidR="00B02841" w:rsidRPr="00B67ACC" w:rsidRDefault="00B02841" w:rsidP="00A33868">
            <w:pPr>
              <w:rPr>
                <w:lang w:val="en-US"/>
              </w:rPr>
            </w:pPr>
          </w:p>
        </w:tc>
        <w:tc>
          <w:tcPr>
            <w:tcW w:w="1356" w:type="dxa"/>
          </w:tcPr>
          <w:p w14:paraId="3731BED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44FA1DC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72AD2FA" w14:textId="4A55C61E" w:rsidTr="00A80986">
        <w:tc>
          <w:tcPr>
            <w:cnfStyle w:val="001000000000" w:firstRow="0" w:lastRow="0" w:firstColumn="1" w:lastColumn="0" w:oddVBand="0" w:evenVBand="0" w:oddHBand="0" w:evenHBand="0" w:firstRowFirstColumn="0" w:firstRowLastColumn="0" w:lastRowFirstColumn="0" w:lastRowLastColumn="0"/>
            <w:tcW w:w="8526" w:type="dxa"/>
          </w:tcPr>
          <w:p w14:paraId="0FA990F5" w14:textId="77777777" w:rsidR="00B02841" w:rsidRPr="00B67ACC" w:rsidRDefault="00B02841" w:rsidP="00A33868">
            <w:pPr>
              <w:rPr>
                <w:lang w:val="en-US"/>
              </w:rPr>
            </w:pPr>
            <w:r w:rsidRPr="00B67ACC">
              <w:rPr>
                <w:lang w:val="en-US"/>
              </w:rPr>
              <w:t xml:space="preserve">Where items are used both for work or business purposes and for private purposes (e.g., use of a mobile phone or home computer) it is also necessary to apportion deductions so that a deduction is only claimed for the business portion of the expense. In addition, all </w:t>
            </w:r>
            <w:r w:rsidRPr="00B67ACC">
              <w:rPr>
                <w:lang w:val="en-US"/>
              </w:rPr>
              <w:lastRenderedPageBreak/>
              <w:t xml:space="preserve">claims for work-related expenses and business travel expenses must be substantiated by way of evidence such as invoices, </w:t>
            </w:r>
            <w:proofErr w:type="gramStart"/>
            <w:r w:rsidRPr="00B67ACC">
              <w:rPr>
                <w:lang w:val="en-US"/>
              </w:rPr>
              <w:t>receipts</w:t>
            </w:r>
            <w:proofErr w:type="gramEnd"/>
            <w:r w:rsidRPr="00B67ACC">
              <w:rPr>
                <w:lang w:val="en-US"/>
              </w:rPr>
              <w:t xml:space="preserve"> and credit card statements.</w:t>
            </w:r>
          </w:p>
        </w:tc>
        <w:tc>
          <w:tcPr>
            <w:tcW w:w="1356" w:type="dxa"/>
          </w:tcPr>
          <w:p w14:paraId="79AFF002"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579E50C7"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56C408C5" w14:textId="6F8DC100"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40ECC811" w14:textId="77777777" w:rsidR="00B02841" w:rsidRPr="00B67ACC" w:rsidRDefault="00B02841" w:rsidP="00A33868">
            <w:pPr>
              <w:rPr>
                <w:lang w:val="en-US"/>
              </w:rPr>
            </w:pPr>
          </w:p>
        </w:tc>
        <w:tc>
          <w:tcPr>
            <w:tcW w:w="1356" w:type="dxa"/>
          </w:tcPr>
          <w:p w14:paraId="6827A234"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2C320D9E"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15D78DAC" w14:textId="1741408A" w:rsidTr="00A80986">
        <w:tc>
          <w:tcPr>
            <w:cnfStyle w:val="001000000000" w:firstRow="0" w:lastRow="0" w:firstColumn="1" w:lastColumn="0" w:oddVBand="0" w:evenVBand="0" w:oddHBand="0" w:evenHBand="0" w:firstRowFirstColumn="0" w:firstRowLastColumn="0" w:lastRowFirstColumn="0" w:lastRowLastColumn="0"/>
            <w:tcW w:w="8526" w:type="dxa"/>
          </w:tcPr>
          <w:p w14:paraId="39914A2E" w14:textId="77777777" w:rsidR="00B02841" w:rsidRPr="00B67ACC" w:rsidRDefault="00B02841" w:rsidP="00A33868">
            <w:pPr>
              <w:rPr>
                <w:lang w:val="en-US"/>
              </w:rPr>
            </w:pPr>
            <w:r w:rsidRPr="00B67ACC">
              <w:rPr>
                <w:lang w:val="en-US"/>
              </w:rPr>
              <w:t xml:space="preserve">Where car expenses are claimed using the logbook method, it is also necessary to retain all appropriate invoices and receipts as well as maintain a fully compliant logbook. Alternatively, where car expense deductions are claimed using the cents per </w:t>
            </w:r>
            <w:proofErr w:type="spellStart"/>
            <w:r w:rsidRPr="00B67ACC">
              <w:rPr>
                <w:lang w:val="en-US"/>
              </w:rPr>
              <w:t>kilometre</w:t>
            </w:r>
            <w:proofErr w:type="spellEnd"/>
            <w:r w:rsidRPr="00B67ACC">
              <w:rPr>
                <w:lang w:val="en-US"/>
              </w:rPr>
              <w:t xml:space="preserve"> method it is necessary that any estimate of business </w:t>
            </w:r>
            <w:proofErr w:type="spellStart"/>
            <w:r w:rsidRPr="00B67ACC">
              <w:rPr>
                <w:lang w:val="en-US"/>
              </w:rPr>
              <w:t>kilometres</w:t>
            </w:r>
            <w:proofErr w:type="spellEnd"/>
            <w:r w:rsidRPr="00B67ACC">
              <w:rPr>
                <w:lang w:val="en-US"/>
              </w:rPr>
              <w:t xml:space="preserve"> travelled be based on reasonable estimates which should be appropriately documented. </w:t>
            </w:r>
          </w:p>
        </w:tc>
        <w:tc>
          <w:tcPr>
            <w:tcW w:w="1356" w:type="dxa"/>
          </w:tcPr>
          <w:p w14:paraId="6B79096E"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3D55B551"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2A8C7823" w14:textId="1C19AD55"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962B37D" w14:textId="77777777" w:rsidR="00B02841" w:rsidRPr="00B67ACC" w:rsidRDefault="00B02841" w:rsidP="00A33868">
            <w:pPr>
              <w:rPr>
                <w:lang w:val="en-US"/>
              </w:rPr>
            </w:pPr>
          </w:p>
        </w:tc>
        <w:tc>
          <w:tcPr>
            <w:tcW w:w="1356" w:type="dxa"/>
          </w:tcPr>
          <w:p w14:paraId="4571ACF5"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201B659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40C31BD3" w14:textId="5615A8F9" w:rsidTr="00A80986">
        <w:tc>
          <w:tcPr>
            <w:cnfStyle w:val="001000000000" w:firstRow="0" w:lastRow="0" w:firstColumn="1" w:lastColumn="0" w:oddVBand="0" w:evenVBand="0" w:oddHBand="0" w:evenHBand="0" w:firstRowFirstColumn="0" w:firstRowLastColumn="0" w:lastRowFirstColumn="0" w:lastRowLastColumn="0"/>
            <w:tcW w:w="8526" w:type="dxa"/>
          </w:tcPr>
          <w:p w14:paraId="69E99341" w14:textId="77777777" w:rsidR="00B02841" w:rsidRPr="00B67ACC" w:rsidRDefault="00B02841" w:rsidP="00A33868">
            <w:pPr>
              <w:rPr>
                <w:lang w:val="en-US"/>
              </w:rPr>
            </w:pPr>
            <w:r w:rsidRPr="00B67ACC">
              <w:rPr>
                <w:lang w:val="en-US"/>
              </w:rPr>
              <w:t>For employees who are working from home during the period 1 July 2020 until 30 June 2021, the ATO allows 3 methods of calculating deductions for additional running expenses:</w:t>
            </w:r>
          </w:p>
        </w:tc>
        <w:tc>
          <w:tcPr>
            <w:tcW w:w="1356" w:type="dxa"/>
          </w:tcPr>
          <w:p w14:paraId="20A1CB6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1800451B"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1D281F18" w14:textId="5D67DED2"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80F471F" w14:textId="77777777" w:rsidR="00B02841" w:rsidRPr="00B67ACC" w:rsidRDefault="00B02841" w:rsidP="00A33868">
            <w:pPr>
              <w:pStyle w:val="ListParagraph"/>
              <w:numPr>
                <w:ilvl w:val="0"/>
                <w:numId w:val="8"/>
              </w:numPr>
              <w:rPr>
                <w:lang w:val="en-US"/>
              </w:rPr>
            </w:pPr>
            <w:r w:rsidRPr="00B67ACC">
              <w:rPr>
                <w:u w:val="single"/>
                <w:lang w:val="en-US"/>
              </w:rPr>
              <w:t>80 cents</w:t>
            </w:r>
            <w:r w:rsidRPr="00B67ACC">
              <w:rPr>
                <w:lang w:val="en-US"/>
              </w:rPr>
              <w:t xml:space="preserve"> per hour – this method can be used for the period 1 July 2020 until 30 June 2021,</w:t>
            </w:r>
          </w:p>
        </w:tc>
        <w:tc>
          <w:tcPr>
            <w:tcW w:w="1356" w:type="dxa"/>
          </w:tcPr>
          <w:p w14:paraId="49C27F1E"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u w:val="single"/>
                <w:lang w:val="en-US"/>
              </w:rPr>
            </w:pPr>
          </w:p>
        </w:tc>
        <w:tc>
          <w:tcPr>
            <w:tcW w:w="4508" w:type="dxa"/>
          </w:tcPr>
          <w:p w14:paraId="74DBF919"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u w:val="single"/>
                <w:lang w:val="en-US"/>
              </w:rPr>
            </w:pPr>
          </w:p>
        </w:tc>
      </w:tr>
      <w:tr w:rsidR="00B02841" w:rsidRPr="00B67ACC" w14:paraId="02B0800D" w14:textId="35F039FB" w:rsidTr="00A80986">
        <w:tc>
          <w:tcPr>
            <w:cnfStyle w:val="001000000000" w:firstRow="0" w:lastRow="0" w:firstColumn="1" w:lastColumn="0" w:oddVBand="0" w:evenVBand="0" w:oddHBand="0" w:evenHBand="0" w:firstRowFirstColumn="0" w:firstRowLastColumn="0" w:lastRowFirstColumn="0" w:lastRowLastColumn="0"/>
            <w:tcW w:w="8526" w:type="dxa"/>
          </w:tcPr>
          <w:p w14:paraId="273DA35A" w14:textId="77777777" w:rsidR="00B02841" w:rsidRPr="00B67ACC" w:rsidRDefault="00B02841" w:rsidP="00A33868">
            <w:pPr>
              <w:pStyle w:val="ListParagraph"/>
              <w:numPr>
                <w:ilvl w:val="0"/>
                <w:numId w:val="8"/>
              </w:numPr>
              <w:rPr>
                <w:lang w:val="en-US"/>
              </w:rPr>
            </w:pPr>
            <w:r w:rsidRPr="00B67ACC">
              <w:rPr>
                <w:u w:val="single"/>
                <w:lang w:val="en-US"/>
              </w:rPr>
              <w:t>52 cents</w:t>
            </w:r>
            <w:r w:rsidRPr="00B67ACC">
              <w:rPr>
                <w:lang w:val="en-US"/>
              </w:rPr>
              <w:t xml:space="preserve"> per work hour for heating, cooling, lighting, </w:t>
            </w:r>
            <w:proofErr w:type="gramStart"/>
            <w:r w:rsidRPr="00B67ACC">
              <w:rPr>
                <w:lang w:val="en-US"/>
              </w:rPr>
              <w:t>cleaning</w:t>
            </w:r>
            <w:proofErr w:type="gramEnd"/>
            <w:r w:rsidRPr="00B67ACC">
              <w:rPr>
                <w:lang w:val="en-US"/>
              </w:rPr>
              <w:t xml:space="preserve"> and the decline in value of office furniture, plus the work-related portion of phone and internet expenses, computer consumables, stationery and the decline in value of a computer, laptop or similar device, or</w:t>
            </w:r>
          </w:p>
        </w:tc>
        <w:tc>
          <w:tcPr>
            <w:tcW w:w="1356" w:type="dxa"/>
          </w:tcPr>
          <w:p w14:paraId="485A782C" w14:textId="77777777" w:rsidR="00B02841" w:rsidRPr="00B02841" w:rsidRDefault="00B02841" w:rsidP="00B02841">
            <w:pPr>
              <w:cnfStyle w:val="000000000000" w:firstRow="0" w:lastRow="0" w:firstColumn="0" w:lastColumn="0" w:oddVBand="0" w:evenVBand="0" w:oddHBand="0" w:evenHBand="0" w:firstRowFirstColumn="0" w:firstRowLastColumn="0" w:lastRowFirstColumn="0" w:lastRowLastColumn="0"/>
              <w:rPr>
                <w:u w:val="single"/>
                <w:lang w:val="en-US"/>
              </w:rPr>
            </w:pPr>
          </w:p>
        </w:tc>
        <w:tc>
          <w:tcPr>
            <w:tcW w:w="4508" w:type="dxa"/>
          </w:tcPr>
          <w:p w14:paraId="5BED1C70" w14:textId="77777777" w:rsidR="00B02841" w:rsidRPr="00B02841" w:rsidRDefault="00B02841" w:rsidP="00B02841">
            <w:pPr>
              <w:cnfStyle w:val="000000000000" w:firstRow="0" w:lastRow="0" w:firstColumn="0" w:lastColumn="0" w:oddVBand="0" w:evenVBand="0" w:oddHBand="0" w:evenHBand="0" w:firstRowFirstColumn="0" w:firstRowLastColumn="0" w:lastRowFirstColumn="0" w:lastRowLastColumn="0"/>
              <w:rPr>
                <w:u w:val="single"/>
                <w:lang w:val="en-US"/>
              </w:rPr>
            </w:pPr>
          </w:p>
        </w:tc>
      </w:tr>
      <w:tr w:rsidR="00B02841" w:rsidRPr="00B67ACC" w14:paraId="07A65E21" w14:textId="3268CEC1"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482D29B8" w14:textId="77777777" w:rsidR="00B02841" w:rsidRPr="00B67ACC" w:rsidRDefault="00B02841" w:rsidP="00A33868">
            <w:pPr>
              <w:pStyle w:val="ListParagraph"/>
              <w:numPr>
                <w:ilvl w:val="0"/>
                <w:numId w:val="8"/>
              </w:numPr>
              <w:rPr>
                <w:lang w:val="en-US"/>
              </w:rPr>
            </w:pPr>
            <w:r w:rsidRPr="00B67ACC">
              <w:rPr>
                <w:lang w:val="en-US"/>
              </w:rPr>
              <w:t>Actual work-related portion of all running expenses, which will need to be calculated on a reasonable basis.</w:t>
            </w:r>
          </w:p>
        </w:tc>
        <w:tc>
          <w:tcPr>
            <w:tcW w:w="1356" w:type="dxa"/>
          </w:tcPr>
          <w:p w14:paraId="781B18DF"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79D08253"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0365046D" w14:textId="4F249D8B" w:rsidTr="00A80986">
        <w:tc>
          <w:tcPr>
            <w:cnfStyle w:val="001000000000" w:firstRow="0" w:lastRow="0" w:firstColumn="1" w:lastColumn="0" w:oddVBand="0" w:evenVBand="0" w:oddHBand="0" w:evenHBand="0" w:firstRowFirstColumn="0" w:firstRowLastColumn="0" w:lastRowFirstColumn="0" w:lastRowLastColumn="0"/>
            <w:tcW w:w="8526" w:type="dxa"/>
          </w:tcPr>
          <w:p w14:paraId="1475B9C9" w14:textId="77777777" w:rsidR="00B02841" w:rsidRPr="00B67ACC" w:rsidRDefault="00B02841" w:rsidP="00A33868">
            <w:pPr>
              <w:rPr>
                <w:lang w:val="en-US"/>
              </w:rPr>
            </w:pPr>
          </w:p>
        </w:tc>
        <w:tc>
          <w:tcPr>
            <w:tcW w:w="1356" w:type="dxa"/>
          </w:tcPr>
          <w:p w14:paraId="111D3168"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ABCACD8"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002A3D13" w14:textId="433FC205"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5678A1C" w14:textId="77777777" w:rsidR="00B02841" w:rsidRPr="00B67ACC" w:rsidRDefault="00B02841" w:rsidP="00A33868">
            <w:pPr>
              <w:rPr>
                <w:u w:val="single"/>
                <w:lang w:val="en-US"/>
              </w:rPr>
            </w:pPr>
            <w:r w:rsidRPr="00B67ACC">
              <w:rPr>
                <w:u w:val="single"/>
                <w:lang w:val="en-US"/>
              </w:rPr>
              <w:t xml:space="preserve">N.B. For the 52 cents and actual </w:t>
            </w:r>
            <w:proofErr w:type="gramStart"/>
            <w:r w:rsidRPr="00B67ACC">
              <w:rPr>
                <w:u w:val="single"/>
                <w:lang w:val="en-US"/>
              </w:rPr>
              <w:t>work related</w:t>
            </w:r>
            <w:proofErr w:type="gramEnd"/>
            <w:r w:rsidRPr="00B67ACC">
              <w:rPr>
                <w:u w:val="single"/>
                <w:lang w:val="en-US"/>
              </w:rPr>
              <w:t xml:space="preserve"> method, you will need to have a dedicated area for home office.</w:t>
            </w:r>
          </w:p>
        </w:tc>
        <w:tc>
          <w:tcPr>
            <w:tcW w:w="1356" w:type="dxa"/>
          </w:tcPr>
          <w:p w14:paraId="36DAEAA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u w:val="single"/>
                <w:lang w:val="en-US"/>
              </w:rPr>
            </w:pPr>
          </w:p>
        </w:tc>
        <w:tc>
          <w:tcPr>
            <w:tcW w:w="4508" w:type="dxa"/>
          </w:tcPr>
          <w:p w14:paraId="000314B5"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u w:val="single"/>
                <w:lang w:val="en-US"/>
              </w:rPr>
            </w:pPr>
          </w:p>
        </w:tc>
      </w:tr>
      <w:tr w:rsidR="00B02841" w:rsidRPr="00B67ACC" w14:paraId="13710842" w14:textId="113E23E5" w:rsidTr="00A80986">
        <w:tc>
          <w:tcPr>
            <w:cnfStyle w:val="001000000000" w:firstRow="0" w:lastRow="0" w:firstColumn="1" w:lastColumn="0" w:oddVBand="0" w:evenVBand="0" w:oddHBand="0" w:evenHBand="0" w:firstRowFirstColumn="0" w:firstRowLastColumn="0" w:lastRowFirstColumn="0" w:lastRowLastColumn="0"/>
            <w:tcW w:w="8526" w:type="dxa"/>
          </w:tcPr>
          <w:p w14:paraId="6F75C0C4" w14:textId="77777777" w:rsidR="00B02841" w:rsidRPr="00B67ACC" w:rsidRDefault="00B02841" w:rsidP="00A33868">
            <w:pPr>
              <w:rPr>
                <w:lang w:val="en-US"/>
              </w:rPr>
            </w:pPr>
          </w:p>
        </w:tc>
        <w:tc>
          <w:tcPr>
            <w:tcW w:w="1356" w:type="dxa"/>
          </w:tcPr>
          <w:p w14:paraId="5D678B2A"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17F3CE41"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7B98147B" w14:textId="7F3C4E8A"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25680CC" w14:textId="77777777" w:rsidR="00B02841" w:rsidRPr="00B67ACC" w:rsidRDefault="00B02841" w:rsidP="00A33868">
            <w:pPr>
              <w:rPr>
                <w:lang w:val="en-US"/>
              </w:rPr>
            </w:pPr>
            <w:r w:rsidRPr="00B67ACC">
              <w:rPr>
                <w:lang w:val="en-US"/>
              </w:rPr>
              <w:t xml:space="preserve">Care should be taken in claiming such deductions as the Australian Taxation Office (ATO) continues to </w:t>
            </w:r>
            <w:proofErr w:type="spellStart"/>
            <w:r w:rsidRPr="00B67ACC">
              <w:rPr>
                <w:lang w:val="en-US"/>
              </w:rPr>
              <w:t>scrutinise</w:t>
            </w:r>
            <w:proofErr w:type="spellEnd"/>
            <w:r w:rsidRPr="00B67ACC">
              <w:rPr>
                <w:lang w:val="en-US"/>
              </w:rPr>
              <w:t xml:space="preserve"> excessive work-related expense claims and uses data analytics and data matching to detect deductions which are unusual or abnormally high relative to other persons in the taxpayer’s occupation or profession. </w:t>
            </w:r>
          </w:p>
        </w:tc>
        <w:tc>
          <w:tcPr>
            <w:tcW w:w="1356" w:type="dxa"/>
          </w:tcPr>
          <w:p w14:paraId="487EE173"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479E1229"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5D69FC97" w14:textId="162B8118" w:rsidTr="00A80986">
        <w:tc>
          <w:tcPr>
            <w:cnfStyle w:val="001000000000" w:firstRow="0" w:lastRow="0" w:firstColumn="1" w:lastColumn="0" w:oddVBand="0" w:evenVBand="0" w:oddHBand="0" w:evenHBand="0" w:firstRowFirstColumn="0" w:firstRowLastColumn="0" w:lastRowFirstColumn="0" w:lastRowLastColumn="0"/>
            <w:tcW w:w="8526" w:type="dxa"/>
          </w:tcPr>
          <w:p w14:paraId="1456B4FD" w14:textId="77777777" w:rsidR="00B02841" w:rsidRPr="00B67ACC" w:rsidRDefault="00B02841" w:rsidP="00A33868">
            <w:pPr>
              <w:rPr>
                <w:lang w:val="en-US"/>
              </w:rPr>
            </w:pPr>
          </w:p>
        </w:tc>
        <w:tc>
          <w:tcPr>
            <w:tcW w:w="1356" w:type="dxa"/>
          </w:tcPr>
          <w:p w14:paraId="60FA7F71"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1E04332A"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5758419A" w14:textId="222B83A3"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460C0CEA" w14:textId="77777777" w:rsidR="00B02841" w:rsidRPr="00B67ACC" w:rsidRDefault="00B02841" w:rsidP="00A33868">
            <w:pPr>
              <w:rPr>
                <w:lang w:val="en-US"/>
              </w:rPr>
            </w:pPr>
          </w:p>
        </w:tc>
        <w:tc>
          <w:tcPr>
            <w:tcW w:w="1356" w:type="dxa"/>
          </w:tcPr>
          <w:p w14:paraId="396B959C"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7A65D296"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08186DE9" w14:textId="2F4CC48C" w:rsidTr="00A80986">
        <w:tc>
          <w:tcPr>
            <w:cnfStyle w:val="001000000000" w:firstRow="0" w:lastRow="0" w:firstColumn="1" w:lastColumn="0" w:oddVBand="0" w:evenVBand="0" w:oddHBand="0" w:evenHBand="0" w:firstRowFirstColumn="0" w:firstRowLastColumn="0" w:lastRowFirstColumn="0" w:lastRowLastColumn="0"/>
            <w:tcW w:w="8526" w:type="dxa"/>
          </w:tcPr>
          <w:p w14:paraId="6FD98D8E" w14:textId="77777777" w:rsidR="00B02841" w:rsidRPr="00B67ACC" w:rsidRDefault="00B02841" w:rsidP="00A33868">
            <w:pPr>
              <w:rPr>
                <w:b w:val="0"/>
                <w:bCs w:val="0"/>
                <w:lang w:val="en-US"/>
              </w:rPr>
            </w:pPr>
            <w:r w:rsidRPr="00B67ACC">
              <w:rPr>
                <w:lang w:val="en-US"/>
              </w:rPr>
              <w:t xml:space="preserve">Unused concessional cap </w:t>
            </w:r>
            <w:proofErr w:type="gramStart"/>
            <w:r w:rsidRPr="00B67ACC">
              <w:rPr>
                <w:lang w:val="en-US"/>
              </w:rPr>
              <w:t>carry</w:t>
            </w:r>
            <w:proofErr w:type="gramEnd"/>
            <w:r w:rsidRPr="00B67ACC">
              <w:rPr>
                <w:lang w:val="en-US"/>
              </w:rPr>
              <w:t xml:space="preserve"> forward</w:t>
            </w:r>
          </w:p>
        </w:tc>
        <w:tc>
          <w:tcPr>
            <w:tcW w:w="1356" w:type="dxa"/>
          </w:tcPr>
          <w:p w14:paraId="0292C278"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2F1CF2A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438F70E6" w14:textId="049672BA"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2C3D37B9" w14:textId="77777777" w:rsidR="00B02841" w:rsidRPr="00B67ACC" w:rsidRDefault="00B02841" w:rsidP="00A33868">
            <w:pPr>
              <w:rPr>
                <w:lang w:val="en-US"/>
              </w:rPr>
            </w:pPr>
            <w:r w:rsidRPr="00B67ACC">
              <w:rPr>
                <w:lang w:val="en-US"/>
              </w:rPr>
              <w:t>From 1 July 2018 if you have a total superannuation balance of less than $500,000 on 30 June of the previous financial year, you may be entitled to contribute more than the general concessional contributions cap and make additional concessional contributions for any unused amounts.</w:t>
            </w:r>
          </w:p>
        </w:tc>
        <w:tc>
          <w:tcPr>
            <w:tcW w:w="1356" w:type="dxa"/>
          </w:tcPr>
          <w:p w14:paraId="1E223A8C"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1ABBEC90"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035F08D5" w14:textId="366F237C" w:rsidTr="00A80986">
        <w:tc>
          <w:tcPr>
            <w:cnfStyle w:val="001000000000" w:firstRow="0" w:lastRow="0" w:firstColumn="1" w:lastColumn="0" w:oddVBand="0" w:evenVBand="0" w:oddHBand="0" w:evenHBand="0" w:firstRowFirstColumn="0" w:firstRowLastColumn="0" w:lastRowFirstColumn="0" w:lastRowLastColumn="0"/>
            <w:tcW w:w="8526" w:type="dxa"/>
          </w:tcPr>
          <w:p w14:paraId="70EB0656" w14:textId="77777777" w:rsidR="00B02841" w:rsidRPr="00B67ACC" w:rsidRDefault="00B02841" w:rsidP="00A33868">
            <w:pPr>
              <w:rPr>
                <w:lang w:val="en-US"/>
              </w:rPr>
            </w:pPr>
            <w:r w:rsidRPr="00B67ACC">
              <w:rPr>
                <w:lang w:val="en-US"/>
              </w:rPr>
              <w:t xml:space="preserve">If you contributed less than $25,000 to superannuation in the 2019 year, then the shortfall can be contributed in 2020 in addition to the normal $25,000 Concessional Contributions Cap. </w:t>
            </w:r>
          </w:p>
        </w:tc>
        <w:tc>
          <w:tcPr>
            <w:tcW w:w="1356" w:type="dxa"/>
          </w:tcPr>
          <w:p w14:paraId="29C19614"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60B11759"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5FC6D7F4" w14:textId="04D9A03B"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FE282F5" w14:textId="77777777" w:rsidR="00B02841" w:rsidRPr="00B67ACC" w:rsidRDefault="00B02841" w:rsidP="00A33868">
            <w:pPr>
              <w:rPr>
                <w:lang w:val="en-US"/>
              </w:rPr>
            </w:pPr>
          </w:p>
        </w:tc>
        <w:tc>
          <w:tcPr>
            <w:tcW w:w="1356" w:type="dxa"/>
          </w:tcPr>
          <w:p w14:paraId="68835B74"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2BE4A45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3DFB6B13" w14:textId="7D8089B2" w:rsidTr="00A80986">
        <w:tc>
          <w:tcPr>
            <w:cnfStyle w:val="001000000000" w:firstRow="0" w:lastRow="0" w:firstColumn="1" w:lastColumn="0" w:oddVBand="0" w:evenVBand="0" w:oddHBand="0" w:evenHBand="0" w:firstRowFirstColumn="0" w:firstRowLastColumn="0" w:lastRowFirstColumn="0" w:lastRowLastColumn="0"/>
            <w:tcW w:w="8526" w:type="dxa"/>
          </w:tcPr>
          <w:p w14:paraId="6A579BA8" w14:textId="77777777" w:rsidR="00B02841" w:rsidRPr="00B67ACC" w:rsidRDefault="00B02841" w:rsidP="00A33868">
            <w:pPr>
              <w:rPr>
                <w:lang w:val="en-US"/>
              </w:rPr>
            </w:pPr>
            <w:r w:rsidRPr="00B67ACC">
              <w:rPr>
                <w:lang w:val="en-US"/>
              </w:rPr>
              <w:t>The first year you will be entitled to carry forward unused amounts is the 2019–20 financial year. Unused amounts are available for a maximum of five years, after which the opportunity to use this portion of the unused cap will expire.</w:t>
            </w:r>
          </w:p>
        </w:tc>
        <w:tc>
          <w:tcPr>
            <w:tcW w:w="1356" w:type="dxa"/>
          </w:tcPr>
          <w:p w14:paraId="62E4E977"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72F5C70"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62C8AB05" w14:textId="7EFA0861"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1479915" w14:textId="77777777" w:rsidR="00B02841" w:rsidRPr="00B67ACC" w:rsidRDefault="00B02841" w:rsidP="00A33868">
            <w:pPr>
              <w:rPr>
                <w:lang w:val="en-US"/>
              </w:rPr>
            </w:pPr>
          </w:p>
        </w:tc>
        <w:tc>
          <w:tcPr>
            <w:tcW w:w="1356" w:type="dxa"/>
          </w:tcPr>
          <w:p w14:paraId="02DA669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9206D5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4140382F" w14:textId="4C0EB4D6" w:rsidTr="00A80986">
        <w:tc>
          <w:tcPr>
            <w:cnfStyle w:val="001000000000" w:firstRow="0" w:lastRow="0" w:firstColumn="1" w:lastColumn="0" w:oddVBand="0" w:evenVBand="0" w:oddHBand="0" w:evenHBand="0" w:firstRowFirstColumn="0" w:firstRowLastColumn="0" w:lastRowFirstColumn="0" w:lastRowLastColumn="0"/>
            <w:tcW w:w="8526" w:type="dxa"/>
          </w:tcPr>
          <w:p w14:paraId="4755CA57" w14:textId="77777777" w:rsidR="00B02841" w:rsidRPr="00B67ACC" w:rsidRDefault="00B02841" w:rsidP="00A33868">
            <w:pPr>
              <w:rPr>
                <w:lang w:val="en-US"/>
              </w:rPr>
            </w:pPr>
          </w:p>
        </w:tc>
        <w:tc>
          <w:tcPr>
            <w:tcW w:w="1356" w:type="dxa"/>
          </w:tcPr>
          <w:p w14:paraId="4A857BAB"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6B3C4B9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4FEF06BC" w14:textId="032D7FA9"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7B82EFA" w14:textId="77777777" w:rsidR="00B02841" w:rsidRPr="00B67ACC" w:rsidRDefault="00B02841" w:rsidP="00A33868">
            <w:pPr>
              <w:pStyle w:val="ListParagraph"/>
              <w:numPr>
                <w:ilvl w:val="0"/>
                <w:numId w:val="2"/>
              </w:numPr>
              <w:rPr>
                <w:rFonts w:eastAsia="Times New Roman"/>
                <w:b w:val="0"/>
                <w:bCs w:val="0"/>
                <w:u w:val="single"/>
                <w:lang w:val="en-US"/>
              </w:rPr>
            </w:pPr>
            <w:r w:rsidRPr="00B67ACC">
              <w:rPr>
                <w:rFonts w:eastAsia="Times New Roman"/>
                <w:u w:val="single"/>
                <w:lang w:val="en-US"/>
              </w:rPr>
              <w:t xml:space="preserve">REFORMS IMPACTING PROPERTY OWNERSHIP </w:t>
            </w:r>
          </w:p>
        </w:tc>
        <w:tc>
          <w:tcPr>
            <w:tcW w:w="1356" w:type="dxa"/>
          </w:tcPr>
          <w:p w14:paraId="03A4B923"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rFonts w:eastAsia="Times New Roman"/>
                <w:b/>
                <w:bCs/>
                <w:u w:val="single"/>
                <w:lang w:val="en-US"/>
              </w:rPr>
            </w:pPr>
          </w:p>
        </w:tc>
        <w:tc>
          <w:tcPr>
            <w:tcW w:w="4508" w:type="dxa"/>
          </w:tcPr>
          <w:p w14:paraId="03871DBC"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rFonts w:eastAsia="Times New Roman"/>
                <w:b/>
                <w:bCs/>
                <w:u w:val="single"/>
                <w:lang w:val="en-US"/>
              </w:rPr>
            </w:pPr>
          </w:p>
        </w:tc>
      </w:tr>
      <w:tr w:rsidR="00B02841" w:rsidRPr="00B67ACC" w14:paraId="43C8F675" w14:textId="718C76A2" w:rsidTr="00A80986">
        <w:tc>
          <w:tcPr>
            <w:cnfStyle w:val="001000000000" w:firstRow="0" w:lastRow="0" w:firstColumn="1" w:lastColumn="0" w:oddVBand="0" w:evenVBand="0" w:oddHBand="0" w:evenHBand="0" w:firstRowFirstColumn="0" w:firstRowLastColumn="0" w:lastRowFirstColumn="0" w:lastRowLastColumn="0"/>
            <w:tcW w:w="8526" w:type="dxa"/>
          </w:tcPr>
          <w:p w14:paraId="1FE232F0" w14:textId="77777777" w:rsidR="00B02841" w:rsidRPr="00B67ACC" w:rsidRDefault="00B02841" w:rsidP="00A33868">
            <w:pPr>
              <w:rPr>
                <w:lang w:val="en-US"/>
              </w:rPr>
            </w:pPr>
          </w:p>
        </w:tc>
        <w:tc>
          <w:tcPr>
            <w:tcW w:w="1356" w:type="dxa"/>
          </w:tcPr>
          <w:p w14:paraId="191663FF"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34B024AC"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1667950B" w14:textId="647BA08A"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0FA3B51B" w14:textId="77777777" w:rsidR="00B02841" w:rsidRPr="00B67ACC" w:rsidRDefault="00B02841" w:rsidP="00A33868">
            <w:pPr>
              <w:rPr>
                <w:b w:val="0"/>
                <w:bCs w:val="0"/>
                <w:lang w:val="en-US"/>
              </w:rPr>
            </w:pPr>
            <w:r w:rsidRPr="00B67ACC">
              <w:rPr>
                <w:lang w:val="en-US"/>
              </w:rPr>
              <w:t>Foreign resident CGT withholding rate</w:t>
            </w:r>
          </w:p>
        </w:tc>
        <w:tc>
          <w:tcPr>
            <w:tcW w:w="1356" w:type="dxa"/>
          </w:tcPr>
          <w:p w14:paraId="2144AF3A"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75CAC7F7"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4C75BEE7" w14:textId="7F6635E7" w:rsidTr="00A80986">
        <w:tc>
          <w:tcPr>
            <w:cnfStyle w:val="001000000000" w:firstRow="0" w:lastRow="0" w:firstColumn="1" w:lastColumn="0" w:oddVBand="0" w:evenVBand="0" w:oddHBand="0" w:evenHBand="0" w:firstRowFirstColumn="0" w:firstRowLastColumn="0" w:lastRowFirstColumn="0" w:lastRowLastColumn="0"/>
            <w:tcW w:w="8526" w:type="dxa"/>
          </w:tcPr>
          <w:p w14:paraId="1ECD7E5F" w14:textId="77777777" w:rsidR="00B02841" w:rsidRPr="00B67ACC" w:rsidRDefault="00B02841" w:rsidP="00A33868">
            <w:pPr>
              <w:rPr>
                <w:lang w:val="en-US"/>
              </w:rPr>
            </w:pPr>
            <w:r w:rsidRPr="00B67ACC">
              <w:rPr>
                <w:lang w:val="en-US"/>
              </w:rPr>
              <w:t>A non-final 12.5% foreign resident CGT withholding tax must be retained by a purchaser at settlement from the purchase price of certain property acquired from a foreign resident which must be subsequently remitted by the purchaser to the ATO.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or if the CGT asset is not taxable Australian real property or certain indirect Australian real property interests.</w:t>
            </w:r>
          </w:p>
        </w:tc>
        <w:tc>
          <w:tcPr>
            <w:tcW w:w="1356" w:type="dxa"/>
          </w:tcPr>
          <w:p w14:paraId="0799DC99"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F2EE3C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411A7282" w14:textId="14E4B1FE"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C298D31" w14:textId="77777777" w:rsidR="00B02841" w:rsidRPr="00B67ACC" w:rsidRDefault="00B02841" w:rsidP="00A33868">
            <w:pPr>
              <w:rPr>
                <w:lang w:val="en-US"/>
              </w:rPr>
            </w:pPr>
          </w:p>
        </w:tc>
        <w:tc>
          <w:tcPr>
            <w:tcW w:w="1356" w:type="dxa"/>
          </w:tcPr>
          <w:p w14:paraId="75FD74A6"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248D244F"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738ACA28" w14:textId="55B6A5AB" w:rsidTr="00A80986">
        <w:tc>
          <w:tcPr>
            <w:cnfStyle w:val="001000000000" w:firstRow="0" w:lastRow="0" w:firstColumn="1" w:lastColumn="0" w:oddVBand="0" w:evenVBand="0" w:oddHBand="0" w:evenHBand="0" w:firstRowFirstColumn="0" w:firstRowLastColumn="0" w:lastRowFirstColumn="0" w:lastRowLastColumn="0"/>
            <w:tcW w:w="8526" w:type="dxa"/>
          </w:tcPr>
          <w:p w14:paraId="2EA7B9AC" w14:textId="77777777" w:rsidR="00B02841" w:rsidRPr="00B67ACC" w:rsidRDefault="00B02841" w:rsidP="00A33868">
            <w:pPr>
              <w:rPr>
                <w:b w:val="0"/>
                <w:bCs w:val="0"/>
                <w:lang w:val="en-US"/>
              </w:rPr>
            </w:pPr>
          </w:p>
        </w:tc>
        <w:tc>
          <w:tcPr>
            <w:tcW w:w="1356" w:type="dxa"/>
          </w:tcPr>
          <w:p w14:paraId="66ACB6A0"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c>
          <w:tcPr>
            <w:tcW w:w="4508" w:type="dxa"/>
          </w:tcPr>
          <w:p w14:paraId="5AFE6916"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b/>
                <w:bCs/>
                <w:lang w:val="en-US"/>
              </w:rPr>
            </w:pPr>
          </w:p>
        </w:tc>
      </w:tr>
      <w:tr w:rsidR="00B02841" w:rsidRPr="00B67ACC" w14:paraId="2645B069" w14:textId="6D125445"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2E7A5618" w14:textId="77777777" w:rsidR="00B02841" w:rsidRPr="00B67ACC" w:rsidRDefault="00B02841" w:rsidP="00A33868">
            <w:pPr>
              <w:rPr>
                <w:b w:val="0"/>
                <w:bCs w:val="0"/>
                <w:lang w:val="en-US"/>
              </w:rPr>
            </w:pPr>
            <w:r w:rsidRPr="00B67ACC">
              <w:rPr>
                <w:lang w:val="en-US"/>
              </w:rPr>
              <w:t>Main residence exemption for foreign residents</w:t>
            </w:r>
          </w:p>
        </w:tc>
        <w:tc>
          <w:tcPr>
            <w:tcW w:w="1356" w:type="dxa"/>
          </w:tcPr>
          <w:p w14:paraId="5C2D5C40"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c>
          <w:tcPr>
            <w:tcW w:w="4508" w:type="dxa"/>
          </w:tcPr>
          <w:p w14:paraId="7337CEC1"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b/>
                <w:bCs/>
                <w:lang w:val="en-US"/>
              </w:rPr>
            </w:pPr>
          </w:p>
        </w:tc>
      </w:tr>
      <w:tr w:rsidR="00B02841" w:rsidRPr="00B67ACC" w14:paraId="7F09EC5E" w14:textId="3F03AD56" w:rsidTr="00A80986">
        <w:tc>
          <w:tcPr>
            <w:cnfStyle w:val="001000000000" w:firstRow="0" w:lastRow="0" w:firstColumn="1" w:lastColumn="0" w:oddVBand="0" w:evenVBand="0" w:oddHBand="0" w:evenHBand="0" w:firstRowFirstColumn="0" w:firstRowLastColumn="0" w:lastRowFirstColumn="0" w:lastRowLastColumn="0"/>
            <w:tcW w:w="8526" w:type="dxa"/>
          </w:tcPr>
          <w:p w14:paraId="5A8D6FE1" w14:textId="77777777" w:rsidR="00B02841" w:rsidRPr="00B67ACC" w:rsidRDefault="00B02841" w:rsidP="00A33868">
            <w:pPr>
              <w:rPr>
                <w:lang w:val="en-US"/>
              </w:rPr>
            </w:pPr>
            <w:r w:rsidRPr="00B67ACC">
              <w:rPr>
                <w:lang w:val="en-US"/>
              </w:rPr>
              <w:t xml:space="preserve">Foreign resident individuals who held Australian property prior to 7.30pm (AEST) on 9 May 2017 can only claim the CGT main residence exemption for disposals occurring up until 30 June 2020. </w:t>
            </w:r>
          </w:p>
        </w:tc>
        <w:tc>
          <w:tcPr>
            <w:tcW w:w="1356" w:type="dxa"/>
          </w:tcPr>
          <w:p w14:paraId="493E593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0B1D9363"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1D614DDC" w14:textId="08ABF9F6"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3ABDC5FD" w14:textId="77777777" w:rsidR="00B02841" w:rsidRPr="00B67ACC" w:rsidRDefault="00B02841" w:rsidP="00A33868">
            <w:pPr>
              <w:rPr>
                <w:lang w:val="en-US"/>
              </w:rPr>
            </w:pPr>
            <w:r w:rsidRPr="00B67ACC">
              <w:rPr>
                <w:lang w:val="en-US"/>
              </w:rPr>
              <w:t xml:space="preserve">If the property is disposed of on or after 1 July 2020 (regardless of the purchase date), the CGT main residence exemption is only available if the individual satisfies the “life events” test. To satisfy the life events tests </w:t>
            </w:r>
            <w:proofErr w:type="gramStart"/>
            <w:r w:rsidRPr="00B67ACC">
              <w:rPr>
                <w:lang w:val="en-US"/>
              </w:rPr>
              <w:t>all of</w:t>
            </w:r>
            <w:proofErr w:type="gramEnd"/>
            <w:r w:rsidRPr="00B67ACC">
              <w:rPr>
                <w:lang w:val="en-US"/>
              </w:rPr>
              <w:t xml:space="preserve"> the following elements need to be satisfied:</w:t>
            </w:r>
          </w:p>
        </w:tc>
        <w:tc>
          <w:tcPr>
            <w:tcW w:w="1356" w:type="dxa"/>
          </w:tcPr>
          <w:p w14:paraId="29947413"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48A1004C"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1CC3C9AF" w14:textId="63954AB5" w:rsidTr="00A80986">
        <w:tc>
          <w:tcPr>
            <w:cnfStyle w:val="001000000000" w:firstRow="0" w:lastRow="0" w:firstColumn="1" w:lastColumn="0" w:oddVBand="0" w:evenVBand="0" w:oddHBand="0" w:evenHBand="0" w:firstRowFirstColumn="0" w:firstRowLastColumn="0" w:lastRowFirstColumn="0" w:lastRowLastColumn="0"/>
            <w:tcW w:w="8526" w:type="dxa"/>
          </w:tcPr>
          <w:p w14:paraId="38F4A752" w14:textId="77777777" w:rsidR="00B02841" w:rsidRPr="00B67ACC" w:rsidRDefault="00B02841" w:rsidP="00A33868">
            <w:pPr>
              <w:pStyle w:val="ListParagraph"/>
              <w:numPr>
                <w:ilvl w:val="0"/>
                <w:numId w:val="3"/>
              </w:numPr>
              <w:rPr>
                <w:lang w:val="en-US"/>
              </w:rPr>
            </w:pPr>
            <w:r w:rsidRPr="00B67ACC">
              <w:rPr>
                <w:lang w:val="en-US"/>
              </w:rPr>
              <w:t xml:space="preserve">The individual was a foreign resident for a continuous period of six years or less at the time of the CGT event. </w:t>
            </w:r>
          </w:p>
        </w:tc>
        <w:tc>
          <w:tcPr>
            <w:tcW w:w="1356" w:type="dxa"/>
          </w:tcPr>
          <w:p w14:paraId="0D2063DB" w14:textId="77777777" w:rsidR="00B02841" w:rsidRPr="00B02841" w:rsidRDefault="00B02841" w:rsidP="00B02841">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715FFF8E" w14:textId="77777777" w:rsidR="00B02841" w:rsidRPr="00B02841" w:rsidRDefault="00B02841" w:rsidP="00B02841">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5C165980" w14:textId="0ADBE9D1"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1E1D10B3" w14:textId="77777777" w:rsidR="00B02841" w:rsidRPr="00B67ACC" w:rsidRDefault="00B02841" w:rsidP="00A33868">
            <w:pPr>
              <w:pStyle w:val="ListParagraph"/>
              <w:numPr>
                <w:ilvl w:val="0"/>
                <w:numId w:val="3"/>
              </w:numPr>
              <w:rPr>
                <w:lang w:val="en-US"/>
              </w:rPr>
            </w:pPr>
            <w:r w:rsidRPr="00B67ACC">
              <w:rPr>
                <w:lang w:val="en-US"/>
              </w:rPr>
              <w:t xml:space="preserve">At least one of the following occurred: </w:t>
            </w:r>
          </w:p>
        </w:tc>
        <w:tc>
          <w:tcPr>
            <w:tcW w:w="1356" w:type="dxa"/>
          </w:tcPr>
          <w:p w14:paraId="53FF12BB"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31A5BAE3"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6B7B40C8" w14:textId="3DFF66A3" w:rsidTr="00A80986">
        <w:tc>
          <w:tcPr>
            <w:cnfStyle w:val="001000000000" w:firstRow="0" w:lastRow="0" w:firstColumn="1" w:lastColumn="0" w:oddVBand="0" w:evenVBand="0" w:oddHBand="0" w:evenHBand="0" w:firstRowFirstColumn="0" w:firstRowLastColumn="0" w:lastRowFirstColumn="0" w:lastRowLastColumn="0"/>
            <w:tcW w:w="8526" w:type="dxa"/>
          </w:tcPr>
          <w:p w14:paraId="60745F5C" w14:textId="77777777" w:rsidR="00B02841" w:rsidRPr="00B67ACC" w:rsidRDefault="00B02841" w:rsidP="00A33868">
            <w:pPr>
              <w:pStyle w:val="ListParagraph"/>
              <w:numPr>
                <w:ilvl w:val="1"/>
                <w:numId w:val="3"/>
              </w:numPr>
              <w:rPr>
                <w:rFonts w:eastAsia="Times New Roman"/>
                <w:lang w:val="en-US"/>
              </w:rPr>
            </w:pPr>
            <w:r w:rsidRPr="00B67ACC">
              <w:rPr>
                <w:rFonts w:eastAsia="Times New Roman"/>
                <w:lang w:val="en-US"/>
              </w:rPr>
              <w:t>during all or part of the period of a person’s foreign residency, either they, their spouse or their child who was under 18 years of age had a terminal medical condition,</w:t>
            </w:r>
          </w:p>
        </w:tc>
        <w:tc>
          <w:tcPr>
            <w:tcW w:w="1356" w:type="dxa"/>
          </w:tcPr>
          <w:p w14:paraId="3B28688D" w14:textId="77777777" w:rsidR="00B02841" w:rsidRPr="00B02841" w:rsidRDefault="00B02841" w:rsidP="00B02841">
            <w:pPr>
              <w:cnfStyle w:val="000000000000" w:firstRow="0" w:lastRow="0" w:firstColumn="0" w:lastColumn="0" w:oddVBand="0" w:evenVBand="0" w:oddHBand="0" w:evenHBand="0" w:firstRowFirstColumn="0" w:firstRowLastColumn="0" w:lastRowFirstColumn="0" w:lastRowLastColumn="0"/>
              <w:rPr>
                <w:rFonts w:eastAsia="Times New Roman"/>
                <w:lang w:val="en-US"/>
              </w:rPr>
            </w:pPr>
          </w:p>
        </w:tc>
        <w:tc>
          <w:tcPr>
            <w:tcW w:w="4508" w:type="dxa"/>
          </w:tcPr>
          <w:p w14:paraId="0A1162B2" w14:textId="77777777" w:rsidR="00B02841" w:rsidRPr="00B02841" w:rsidRDefault="00B02841" w:rsidP="00B02841">
            <w:pPr>
              <w:cnfStyle w:val="000000000000" w:firstRow="0" w:lastRow="0" w:firstColumn="0" w:lastColumn="0" w:oddVBand="0" w:evenVBand="0" w:oddHBand="0" w:evenHBand="0" w:firstRowFirstColumn="0" w:firstRowLastColumn="0" w:lastRowFirstColumn="0" w:lastRowLastColumn="0"/>
              <w:rPr>
                <w:rFonts w:eastAsia="Times New Roman"/>
                <w:lang w:val="en-US"/>
              </w:rPr>
            </w:pPr>
          </w:p>
        </w:tc>
      </w:tr>
      <w:tr w:rsidR="00B02841" w:rsidRPr="00B67ACC" w14:paraId="7D207BC5" w14:textId="5803F438"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2713C3A" w14:textId="77777777" w:rsidR="00B02841" w:rsidRPr="00B67ACC" w:rsidRDefault="00B02841" w:rsidP="00A33868">
            <w:pPr>
              <w:pStyle w:val="ListParagraph"/>
              <w:numPr>
                <w:ilvl w:val="1"/>
                <w:numId w:val="3"/>
              </w:numPr>
              <w:rPr>
                <w:rFonts w:eastAsia="Times New Roman"/>
                <w:lang w:val="en-US"/>
              </w:rPr>
            </w:pPr>
            <w:r w:rsidRPr="00B67ACC">
              <w:rPr>
                <w:rFonts w:eastAsia="Times New Roman"/>
                <w:lang w:val="en-US"/>
              </w:rPr>
              <w:t>during all or part of the period of a person’s foreign residency, their spouse, or their child who is under 18 years of age at the time of their death died, or</w:t>
            </w:r>
          </w:p>
        </w:tc>
        <w:tc>
          <w:tcPr>
            <w:tcW w:w="1356" w:type="dxa"/>
          </w:tcPr>
          <w:p w14:paraId="60C39323"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rFonts w:eastAsia="Times New Roman"/>
                <w:lang w:val="en-US"/>
              </w:rPr>
            </w:pPr>
          </w:p>
        </w:tc>
        <w:tc>
          <w:tcPr>
            <w:tcW w:w="4508" w:type="dxa"/>
          </w:tcPr>
          <w:p w14:paraId="2ABCF2F8" w14:textId="77777777" w:rsidR="00B02841" w:rsidRPr="00B02841" w:rsidRDefault="00B02841" w:rsidP="00B02841">
            <w:pPr>
              <w:cnfStyle w:val="000000100000" w:firstRow="0" w:lastRow="0" w:firstColumn="0" w:lastColumn="0" w:oddVBand="0" w:evenVBand="0" w:oddHBand="1" w:evenHBand="0" w:firstRowFirstColumn="0" w:firstRowLastColumn="0" w:lastRowFirstColumn="0" w:lastRowLastColumn="0"/>
              <w:rPr>
                <w:rFonts w:eastAsia="Times New Roman"/>
                <w:lang w:val="en-US"/>
              </w:rPr>
            </w:pPr>
          </w:p>
        </w:tc>
      </w:tr>
      <w:tr w:rsidR="00B02841" w:rsidRPr="00B67ACC" w14:paraId="489030F8" w14:textId="2DC1D9C7" w:rsidTr="00A80986">
        <w:tc>
          <w:tcPr>
            <w:cnfStyle w:val="001000000000" w:firstRow="0" w:lastRow="0" w:firstColumn="1" w:lastColumn="0" w:oddVBand="0" w:evenVBand="0" w:oddHBand="0" w:evenHBand="0" w:firstRowFirstColumn="0" w:firstRowLastColumn="0" w:lastRowFirstColumn="0" w:lastRowLastColumn="0"/>
            <w:tcW w:w="8526" w:type="dxa"/>
          </w:tcPr>
          <w:p w14:paraId="62393AC3" w14:textId="77777777" w:rsidR="00B02841" w:rsidRPr="00B67ACC" w:rsidRDefault="00B02841" w:rsidP="00A33868">
            <w:pPr>
              <w:pStyle w:val="ListParagraph"/>
              <w:numPr>
                <w:ilvl w:val="1"/>
                <w:numId w:val="3"/>
              </w:numPr>
              <w:rPr>
                <w:rFonts w:eastAsia="Times New Roman"/>
                <w:lang w:val="en-US"/>
              </w:rPr>
            </w:pPr>
            <w:r w:rsidRPr="00B67ACC">
              <w:rPr>
                <w:rFonts w:eastAsia="Times New Roman"/>
                <w:lang w:val="en-US"/>
              </w:rPr>
              <w:lastRenderedPageBreak/>
              <w:t xml:space="preserve">the CGT event occurs in a matter involving the distribution of assets between the person and their spouse in a family law context, such as in the event of divorce or separation or similar maintenance agreements.  </w:t>
            </w:r>
          </w:p>
        </w:tc>
        <w:tc>
          <w:tcPr>
            <w:tcW w:w="1356" w:type="dxa"/>
          </w:tcPr>
          <w:p w14:paraId="2F45439D" w14:textId="77777777" w:rsidR="00B02841" w:rsidRPr="00B02841" w:rsidRDefault="00B02841" w:rsidP="00B02841">
            <w:pPr>
              <w:cnfStyle w:val="000000000000" w:firstRow="0" w:lastRow="0" w:firstColumn="0" w:lastColumn="0" w:oddVBand="0" w:evenVBand="0" w:oddHBand="0" w:evenHBand="0" w:firstRowFirstColumn="0" w:firstRowLastColumn="0" w:lastRowFirstColumn="0" w:lastRowLastColumn="0"/>
              <w:rPr>
                <w:rFonts w:eastAsia="Times New Roman"/>
                <w:lang w:val="en-US"/>
              </w:rPr>
            </w:pPr>
          </w:p>
        </w:tc>
        <w:tc>
          <w:tcPr>
            <w:tcW w:w="4508" w:type="dxa"/>
          </w:tcPr>
          <w:p w14:paraId="00CC7E4A" w14:textId="77777777" w:rsidR="00B02841" w:rsidRPr="00B02841" w:rsidRDefault="00B02841" w:rsidP="00B02841">
            <w:pPr>
              <w:cnfStyle w:val="000000000000" w:firstRow="0" w:lastRow="0" w:firstColumn="0" w:lastColumn="0" w:oddVBand="0" w:evenVBand="0" w:oddHBand="0" w:evenHBand="0" w:firstRowFirstColumn="0" w:firstRowLastColumn="0" w:lastRowFirstColumn="0" w:lastRowLastColumn="0"/>
              <w:rPr>
                <w:rFonts w:eastAsia="Times New Roman"/>
                <w:lang w:val="en-US"/>
              </w:rPr>
            </w:pPr>
          </w:p>
        </w:tc>
      </w:tr>
      <w:tr w:rsidR="00B02841" w:rsidRPr="00B67ACC" w14:paraId="2303A590" w14:textId="40158BF0"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EB363AC" w14:textId="77777777" w:rsidR="00B02841" w:rsidRPr="00B67ACC" w:rsidRDefault="00B02841" w:rsidP="00A33868">
            <w:pPr>
              <w:rPr>
                <w:lang w:val="en-US"/>
              </w:rPr>
            </w:pPr>
          </w:p>
        </w:tc>
        <w:tc>
          <w:tcPr>
            <w:tcW w:w="1356" w:type="dxa"/>
          </w:tcPr>
          <w:p w14:paraId="1A21E230"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15A652BA"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02841" w:rsidRPr="00B67ACC" w14:paraId="588E3B44" w14:textId="28C07506" w:rsidTr="00A80986">
        <w:tc>
          <w:tcPr>
            <w:cnfStyle w:val="001000000000" w:firstRow="0" w:lastRow="0" w:firstColumn="1" w:lastColumn="0" w:oddVBand="0" w:evenVBand="0" w:oddHBand="0" w:evenHBand="0" w:firstRowFirstColumn="0" w:firstRowLastColumn="0" w:lastRowFirstColumn="0" w:lastRowLastColumn="0"/>
            <w:tcW w:w="8526" w:type="dxa"/>
          </w:tcPr>
          <w:p w14:paraId="5DF34440" w14:textId="77777777" w:rsidR="00B02841" w:rsidRPr="00B67ACC" w:rsidRDefault="00B02841" w:rsidP="00A33868">
            <w:pPr>
              <w:rPr>
                <w:lang w:val="en-US"/>
              </w:rPr>
            </w:pPr>
            <w:r w:rsidRPr="00B67ACC">
              <w:rPr>
                <w:lang w:val="en-US"/>
              </w:rPr>
              <w:t>All other requirements to claim the main residence exemption must also be satisfied.</w:t>
            </w:r>
          </w:p>
        </w:tc>
        <w:tc>
          <w:tcPr>
            <w:tcW w:w="1356" w:type="dxa"/>
          </w:tcPr>
          <w:p w14:paraId="0E28CC7D"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7A563DA5" w14:textId="77777777" w:rsidR="00B02841" w:rsidRPr="00B67ACC" w:rsidRDefault="00B02841"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02841" w:rsidRPr="00B67ACC" w14:paraId="6F651691" w14:textId="5987D44F"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63848EBF" w14:textId="77777777" w:rsidR="00B02841" w:rsidRPr="00B67ACC" w:rsidRDefault="00B02841" w:rsidP="00A33868">
            <w:pPr>
              <w:rPr>
                <w:lang w:val="en-US"/>
              </w:rPr>
            </w:pPr>
          </w:p>
        </w:tc>
        <w:tc>
          <w:tcPr>
            <w:tcW w:w="1356" w:type="dxa"/>
          </w:tcPr>
          <w:p w14:paraId="13D95260"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4AE8ADCB" w14:textId="77777777" w:rsidR="00B02841" w:rsidRPr="00B67ACC" w:rsidRDefault="00B02841"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918CD" w:rsidRPr="00B67ACC" w14:paraId="00A891F4" w14:textId="77777777" w:rsidTr="00A80986">
        <w:tc>
          <w:tcPr>
            <w:cnfStyle w:val="001000000000" w:firstRow="0" w:lastRow="0" w:firstColumn="1" w:lastColumn="0" w:oddVBand="0" w:evenVBand="0" w:oddHBand="0" w:evenHBand="0" w:firstRowFirstColumn="0" w:firstRowLastColumn="0" w:lastRowFirstColumn="0" w:lastRowLastColumn="0"/>
            <w:tcW w:w="8526" w:type="dxa"/>
          </w:tcPr>
          <w:p w14:paraId="17ED40E6" w14:textId="77777777" w:rsidR="00B918CD" w:rsidRPr="00B67ACC" w:rsidRDefault="00B918CD" w:rsidP="00A33868">
            <w:pPr>
              <w:rPr>
                <w:lang w:val="en-US"/>
              </w:rPr>
            </w:pPr>
          </w:p>
        </w:tc>
        <w:tc>
          <w:tcPr>
            <w:tcW w:w="1356" w:type="dxa"/>
          </w:tcPr>
          <w:p w14:paraId="03DF6710" w14:textId="77777777" w:rsidR="00B918CD" w:rsidRPr="00B67ACC" w:rsidRDefault="00B918CD"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2C818A6F" w14:textId="77777777" w:rsidR="00B918CD" w:rsidRPr="00B67ACC" w:rsidRDefault="00B918CD"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918CD" w:rsidRPr="00B67ACC" w14:paraId="71525A3F" w14:textId="7777777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22BB8683" w14:textId="77777777" w:rsidR="00663EAE" w:rsidRDefault="00663EAE" w:rsidP="00A33868">
            <w:pPr>
              <w:rPr>
                <w:b w:val="0"/>
                <w:bCs w:val="0"/>
                <w:lang w:val="en-US"/>
              </w:rPr>
            </w:pPr>
          </w:p>
          <w:p w14:paraId="745CCBEC" w14:textId="77777777" w:rsidR="00663EAE" w:rsidRDefault="00663EAE" w:rsidP="00A33868">
            <w:pPr>
              <w:rPr>
                <w:b w:val="0"/>
                <w:bCs w:val="0"/>
                <w:lang w:val="en-US"/>
              </w:rPr>
            </w:pPr>
          </w:p>
          <w:p w14:paraId="7ADB3112" w14:textId="77777777" w:rsidR="00663EAE" w:rsidRDefault="00663EAE" w:rsidP="00A33868">
            <w:pPr>
              <w:rPr>
                <w:b w:val="0"/>
                <w:bCs w:val="0"/>
                <w:lang w:val="en-US"/>
              </w:rPr>
            </w:pPr>
          </w:p>
          <w:p w14:paraId="1A9E2439" w14:textId="77777777" w:rsidR="00663EAE" w:rsidRDefault="00663EAE" w:rsidP="00A33868">
            <w:pPr>
              <w:rPr>
                <w:b w:val="0"/>
                <w:bCs w:val="0"/>
                <w:lang w:val="en-US"/>
              </w:rPr>
            </w:pPr>
          </w:p>
          <w:p w14:paraId="1B5ECB04" w14:textId="77777777" w:rsidR="00663EAE" w:rsidRDefault="00663EAE" w:rsidP="00A33868">
            <w:pPr>
              <w:rPr>
                <w:b w:val="0"/>
                <w:bCs w:val="0"/>
                <w:lang w:val="en-US"/>
              </w:rPr>
            </w:pPr>
          </w:p>
          <w:p w14:paraId="59AA37D3" w14:textId="77777777" w:rsidR="00663EAE" w:rsidRDefault="00663EAE" w:rsidP="00A33868">
            <w:pPr>
              <w:rPr>
                <w:b w:val="0"/>
                <w:bCs w:val="0"/>
                <w:lang w:val="en-US"/>
              </w:rPr>
            </w:pPr>
          </w:p>
          <w:p w14:paraId="3225EE9B" w14:textId="77777777" w:rsidR="00663EAE" w:rsidRDefault="00663EAE" w:rsidP="00A33868">
            <w:pPr>
              <w:rPr>
                <w:b w:val="0"/>
                <w:bCs w:val="0"/>
                <w:lang w:val="en-US"/>
              </w:rPr>
            </w:pPr>
          </w:p>
          <w:p w14:paraId="423101AB" w14:textId="77777777" w:rsidR="00663EAE" w:rsidRDefault="00663EAE" w:rsidP="00A33868">
            <w:pPr>
              <w:rPr>
                <w:b w:val="0"/>
                <w:bCs w:val="0"/>
                <w:lang w:val="en-US"/>
              </w:rPr>
            </w:pPr>
          </w:p>
          <w:p w14:paraId="15AE5224" w14:textId="77777777" w:rsidR="00663EAE" w:rsidRDefault="00663EAE" w:rsidP="00A33868">
            <w:pPr>
              <w:rPr>
                <w:b w:val="0"/>
                <w:bCs w:val="0"/>
                <w:lang w:val="en-US"/>
              </w:rPr>
            </w:pPr>
          </w:p>
          <w:p w14:paraId="0A678853" w14:textId="77777777" w:rsidR="00663EAE" w:rsidRDefault="00663EAE" w:rsidP="00A33868">
            <w:pPr>
              <w:rPr>
                <w:b w:val="0"/>
                <w:bCs w:val="0"/>
                <w:lang w:val="en-US"/>
              </w:rPr>
            </w:pPr>
          </w:p>
          <w:p w14:paraId="43079BB1" w14:textId="77777777" w:rsidR="00663EAE" w:rsidRDefault="00663EAE" w:rsidP="00A33868">
            <w:pPr>
              <w:rPr>
                <w:b w:val="0"/>
                <w:bCs w:val="0"/>
                <w:lang w:val="en-US"/>
              </w:rPr>
            </w:pPr>
          </w:p>
          <w:p w14:paraId="34EDBF68" w14:textId="77777777" w:rsidR="00663EAE" w:rsidRDefault="00663EAE" w:rsidP="00A33868">
            <w:pPr>
              <w:rPr>
                <w:b w:val="0"/>
                <w:bCs w:val="0"/>
                <w:lang w:val="en-US"/>
              </w:rPr>
            </w:pPr>
          </w:p>
          <w:p w14:paraId="3F25D786" w14:textId="77777777" w:rsidR="00663EAE" w:rsidRDefault="00663EAE" w:rsidP="00A33868">
            <w:pPr>
              <w:rPr>
                <w:b w:val="0"/>
                <w:bCs w:val="0"/>
                <w:lang w:val="en-US"/>
              </w:rPr>
            </w:pPr>
          </w:p>
          <w:p w14:paraId="488571D9" w14:textId="77777777" w:rsidR="00663EAE" w:rsidRDefault="00663EAE" w:rsidP="00A33868">
            <w:pPr>
              <w:rPr>
                <w:b w:val="0"/>
                <w:bCs w:val="0"/>
                <w:lang w:val="en-US"/>
              </w:rPr>
            </w:pPr>
          </w:p>
          <w:p w14:paraId="7B4CB134" w14:textId="77777777" w:rsidR="00663EAE" w:rsidRDefault="00663EAE" w:rsidP="00A33868">
            <w:pPr>
              <w:rPr>
                <w:b w:val="0"/>
                <w:bCs w:val="0"/>
                <w:lang w:val="en-US"/>
              </w:rPr>
            </w:pPr>
          </w:p>
          <w:p w14:paraId="04E91F5E" w14:textId="77777777" w:rsidR="00663EAE" w:rsidRDefault="00663EAE" w:rsidP="00A33868">
            <w:pPr>
              <w:rPr>
                <w:b w:val="0"/>
                <w:bCs w:val="0"/>
                <w:lang w:val="en-US"/>
              </w:rPr>
            </w:pPr>
          </w:p>
          <w:p w14:paraId="034962D4" w14:textId="77777777" w:rsidR="00663EAE" w:rsidRDefault="00663EAE" w:rsidP="00A33868">
            <w:pPr>
              <w:rPr>
                <w:b w:val="0"/>
                <w:bCs w:val="0"/>
                <w:lang w:val="en-US"/>
              </w:rPr>
            </w:pPr>
          </w:p>
          <w:p w14:paraId="7698E038" w14:textId="77777777" w:rsidR="00663EAE" w:rsidRDefault="00663EAE" w:rsidP="00A33868">
            <w:pPr>
              <w:rPr>
                <w:b w:val="0"/>
                <w:bCs w:val="0"/>
                <w:lang w:val="en-US"/>
              </w:rPr>
            </w:pPr>
          </w:p>
          <w:p w14:paraId="36304E56" w14:textId="77777777" w:rsidR="00663EAE" w:rsidRDefault="00663EAE" w:rsidP="00A33868">
            <w:pPr>
              <w:rPr>
                <w:b w:val="0"/>
                <w:bCs w:val="0"/>
                <w:lang w:val="en-US"/>
              </w:rPr>
            </w:pPr>
          </w:p>
          <w:p w14:paraId="28CAAE8B" w14:textId="77777777" w:rsidR="00663EAE" w:rsidRDefault="00663EAE" w:rsidP="00A33868">
            <w:pPr>
              <w:rPr>
                <w:b w:val="0"/>
                <w:bCs w:val="0"/>
                <w:lang w:val="en-US"/>
              </w:rPr>
            </w:pPr>
          </w:p>
          <w:p w14:paraId="6C59073F" w14:textId="77777777" w:rsidR="00663EAE" w:rsidRDefault="00663EAE" w:rsidP="00A33868">
            <w:pPr>
              <w:rPr>
                <w:b w:val="0"/>
                <w:bCs w:val="0"/>
                <w:lang w:val="en-US"/>
              </w:rPr>
            </w:pPr>
          </w:p>
          <w:p w14:paraId="4AB5F68D" w14:textId="77777777" w:rsidR="00663EAE" w:rsidRDefault="00663EAE" w:rsidP="00A33868">
            <w:pPr>
              <w:rPr>
                <w:b w:val="0"/>
                <w:bCs w:val="0"/>
                <w:lang w:val="en-US"/>
              </w:rPr>
            </w:pPr>
          </w:p>
          <w:p w14:paraId="09178428" w14:textId="77777777" w:rsidR="00663EAE" w:rsidRDefault="00663EAE" w:rsidP="00A33868">
            <w:pPr>
              <w:rPr>
                <w:b w:val="0"/>
                <w:bCs w:val="0"/>
                <w:lang w:val="en-US"/>
              </w:rPr>
            </w:pPr>
          </w:p>
          <w:p w14:paraId="312623CF" w14:textId="77777777" w:rsidR="00663EAE" w:rsidRDefault="00663EAE" w:rsidP="00A33868">
            <w:pPr>
              <w:rPr>
                <w:b w:val="0"/>
                <w:bCs w:val="0"/>
                <w:lang w:val="en-US"/>
              </w:rPr>
            </w:pPr>
          </w:p>
          <w:p w14:paraId="559C54F0" w14:textId="77777777" w:rsidR="00663EAE" w:rsidRDefault="00663EAE" w:rsidP="00A33868">
            <w:pPr>
              <w:rPr>
                <w:b w:val="0"/>
                <w:bCs w:val="0"/>
                <w:lang w:val="en-US"/>
              </w:rPr>
            </w:pPr>
          </w:p>
          <w:p w14:paraId="09FECECB" w14:textId="77777777" w:rsidR="00663EAE" w:rsidRDefault="00663EAE" w:rsidP="00A33868">
            <w:pPr>
              <w:rPr>
                <w:b w:val="0"/>
                <w:bCs w:val="0"/>
                <w:lang w:val="en-US"/>
              </w:rPr>
            </w:pPr>
          </w:p>
          <w:p w14:paraId="0B7C267E" w14:textId="77777777" w:rsidR="00663EAE" w:rsidRDefault="00663EAE" w:rsidP="00A33868">
            <w:pPr>
              <w:rPr>
                <w:b w:val="0"/>
                <w:bCs w:val="0"/>
                <w:lang w:val="en-US"/>
              </w:rPr>
            </w:pPr>
          </w:p>
          <w:p w14:paraId="2C10019B" w14:textId="77777777" w:rsidR="00663EAE" w:rsidRDefault="00663EAE" w:rsidP="00A33868">
            <w:pPr>
              <w:rPr>
                <w:b w:val="0"/>
                <w:bCs w:val="0"/>
                <w:lang w:val="en-US"/>
              </w:rPr>
            </w:pPr>
          </w:p>
          <w:p w14:paraId="76EA1936" w14:textId="77777777" w:rsidR="00663EAE" w:rsidRDefault="00663EAE" w:rsidP="00A33868">
            <w:pPr>
              <w:rPr>
                <w:b w:val="0"/>
                <w:bCs w:val="0"/>
                <w:lang w:val="en-US"/>
              </w:rPr>
            </w:pPr>
          </w:p>
          <w:p w14:paraId="6B85516A" w14:textId="77777777" w:rsidR="00663EAE" w:rsidRDefault="00663EAE" w:rsidP="00A33868">
            <w:pPr>
              <w:rPr>
                <w:b w:val="0"/>
                <w:bCs w:val="0"/>
                <w:lang w:val="en-US"/>
              </w:rPr>
            </w:pPr>
          </w:p>
          <w:p w14:paraId="7234FFE3" w14:textId="77777777" w:rsidR="00B918CD" w:rsidRDefault="00B918CD" w:rsidP="00A33868">
            <w:pPr>
              <w:rPr>
                <w:b w:val="0"/>
                <w:bCs w:val="0"/>
                <w:lang w:val="en-US"/>
              </w:rPr>
            </w:pPr>
            <w:r w:rsidRPr="00B918CD">
              <w:rPr>
                <w:lang w:val="en-US"/>
              </w:rPr>
              <w:lastRenderedPageBreak/>
              <w:t>OTHER ISSUES RAISED</w:t>
            </w:r>
          </w:p>
          <w:p w14:paraId="02AF3D14" w14:textId="77777777" w:rsidR="00663EAE" w:rsidRDefault="00663EAE" w:rsidP="00A33868">
            <w:pPr>
              <w:rPr>
                <w:b w:val="0"/>
                <w:bCs w:val="0"/>
                <w:lang w:val="en-US"/>
              </w:rPr>
            </w:pPr>
          </w:p>
          <w:p w14:paraId="3FCF7D64" w14:textId="77777777" w:rsidR="00663EAE" w:rsidRDefault="00663EAE" w:rsidP="00A33868">
            <w:pPr>
              <w:rPr>
                <w:b w:val="0"/>
                <w:bCs w:val="0"/>
                <w:lang w:val="en-US"/>
              </w:rPr>
            </w:pPr>
          </w:p>
          <w:p w14:paraId="2381F6A6" w14:textId="77777777" w:rsidR="00663EAE" w:rsidRDefault="00663EAE" w:rsidP="00A33868">
            <w:pPr>
              <w:rPr>
                <w:b w:val="0"/>
                <w:bCs w:val="0"/>
                <w:lang w:val="en-US"/>
              </w:rPr>
            </w:pPr>
          </w:p>
          <w:p w14:paraId="693CF7F9" w14:textId="77777777" w:rsidR="00663EAE" w:rsidRDefault="00663EAE" w:rsidP="00A33868">
            <w:pPr>
              <w:rPr>
                <w:b w:val="0"/>
                <w:bCs w:val="0"/>
                <w:lang w:val="en-US"/>
              </w:rPr>
            </w:pPr>
          </w:p>
          <w:p w14:paraId="5DCBA37E" w14:textId="77777777" w:rsidR="00663EAE" w:rsidRDefault="00663EAE" w:rsidP="00A33868">
            <w:pPr>
              <w:rPr>
                <w:b w:val="0"/>
                <w:bCs w:val="0"/>
                <w:lang w:val="en-US"/>
              </w:rPr>
            </w:pPr>
          </w:p>
          <w:p w14:paraId="452E5CA1" w14:textId="77777777" w:rsidR="00663EAE" w:rsidRDefault="00663EAE" w:rsidP="00A33868">
            <w:pPr>
              <w:rPr>
                <w:b w:val="0"/>
                <w:bCs w:val="0"/>
                <w:lang w:val="en-US"/>
              </w:rPr>
            </w:pPr>
          </w:p>
          <w:p w14:paraId="239D5A33" w14:textId="77777777" w:rsidR="00663EAE" w:rsidRDefault="00663EAE" w:rsidP="00A33868">
            <w:pPr>
              <w:rPr>
                <w:b w:val="0"/>
                <w:bCs w:val="0"/>
                <w:lang w:val="en-US"/>
              </w:rPr>
            </w:pPr>
          </w:p>
          <w:p w14:paraId="152F0035" w14:textId="1EA46402" w:rsidR="00663EAE" w:rsidRPr="00B918CD" w:rsidRDefault="00663EAE" w:rsidP="00A33868">
            <w:pPr>
              <w:rPr>
                <w:b w:val="0"/>
                <w:bCs w:val="0"/>
                <w:lang w:val="en-US"/>
              </w:rPr>
            </w:pPr>
          </w:p>
        </w:tc>
        <w:tc>
          <w:tcPr>
            <w:tcW w:w="1356" w:type="dxa"/>
          </w:tcPr>
          <w:p w14:paraId="4727A926" w14:textId="77777777" w:rsidR="00B918CD" w:rsidRPr="00B67ACC" w:rsidRDefault="00B918CD"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579103F9" w14:textId="77777777" w:rsidR="00B918CD" w:rsidRPr="00B67ACC" w:rsidRDefault="00B918CD"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918CD" w:rsidRPr="00B67ACC" w14:paraId="28CDDA3E" w14:textId="77777777" w:rsidTr="00A80986">
        <w:tc>
          <w:tcPr>
            <w:cnfStyle w:val="001000000000" w:firstRow="0" w:lastRow="0" w:firstColumn="1" w:lastColumn="0" w:oddVBand="0" w:evenVBand="0" w:oddHBand="0" w:evenHBand="0" w:firstRowFirstColumn="0" w:firstRowLastColumn="0" w:lastRowFirstColumn="0" w:lastRowLastColumn="0"/>
            <w:tcW w:w="8526" w:type="dxa"/>
          </w:tcPr>
          <w:p w14:paraId="405324F5" w14:textId="77777777" w:rsidR="00B918CD" w:rsidRDefault="00B918CD" w:rsidP="00A33868">
            <w:pPr>
              <w:rPr>
                <w:b w:val="0"/>
                <w:bCs w:val="0"/>
                <w:lang w:val="en-US"/>
              </w:rPr>
            </w:pPr>
          </w:p>
          <w:p w14:paraId="136A46AC" w14:textId="77777777" w:rsidR="00663EAE" w:rsidRDefault="00663EAE" w:rsidP="00A33868">
            <w:pPr>
              <w:rPr>
                <w:b w:val="0"/>
                <w:bCs w:val="0"/>
                <w:lang w:val="en-US"/>
              </w:rPr>
            </w:pPr>
          </w:p>
          <w:p w14:paraId="201A8DAF" w14:textId="77777777" w:rsidR="00663EAE" w:rsidRDefault="00663EAE" w:rsidP="00A33868">
            <w:pPr>
              <w:rPr>
                <w:b w:val="0"/>
                <w:bCs w:val="0"/>
                <w:lang w:val="en-US"/>
              </w:rPr>
            </w:pPr>
          </w:p>
          <w:p w14:paraId="422748D3" w14:textId="77777777" w:rsidR="00663EAE" w:rsidRDefault="00663EAE" w:rsidP="00A33868">
            <w:pPr>
              <w:rPr>
                <w:b w:val="0"/>
                <w:bCs w:val="0"/>
                <w:lang w:val="en-US"/>
              </w:rPr>
            </w:pPr>
          </w:p>
          <w:p w14:paraId="3D5050DC" w14:textId="77777777" w:rsidR="00663EAE" w:rsidRDefault="00663EAE" w:rsidP="00A33868">
            <w:pPr>
              <w:rPr>
                <w:b w:val="0"/>
                <w:bCs w:val="0"/>
                <w:lang w:val="en-US"/>
              </w:rPr>
            </w:pPr>
          </w:p>
          <w:p w14:paraId="660DD1DB" w14:textId="77777777" w:rsidR="00663EAE" w:rsidRDefault="00663EAE" w:rsidP="00A33868">
            <w:pPr>
              <w:rPr>
                <w:b w:val="0"/>
                <w:bCs w:val="0"/>
                <w:lang w:val="en-US"/>
              </w:rPr>
            </w:pPr>
          </w:p>
          <w:p w14:paraId="0893EC31" w14:textId="77777777" w:rsidR="00663EAE" w:rsidRDefault="00663EAE" w:rsidP="00A33868">
            <w:pPr>
              <w:rPr>
                <w:b w:val="0"/>
                <w:bCs w:val="0"/>
                <w:lang w:val="en-US"/>
              </w:rPr>
            </w:pPr>
          </w:p>
          <w:p w14:paraId="703F4204" w14:textId="77777777" w:rsidR="00663EAE" w:rsidRDefault="00663EAE" w:rsidP="00A33868">
            <w:pPr>
              <w:rPr>
                <w:b w:val="0"/>
                <w:bCs w:val="0"/>
                <w:lang w:val="en-US"/>
              </w:rPr>
            </w:pPr>
          </w:p>
          <w:p w14:paraId="0309D5A2" w14:textId="77777777" w:rsidR="00663EAE" w:rsidRDefault="00663EAE" w:rsidP="00A33868">
            <w:pPr>
              <w:rPr>
                <w:b w:val="0"/>
                <w:bCs w:val="0"/>
                <w:lang w:val="en-US"/>
              </w:rPr>
            </w:pPr>
          </w:p>
          <w:p w14:paraId="0421DCC1" w14:textId="77777777" w:rsidR="00663EAE" w:rsidRDefault="00663EAE" w:rsidP="00A33868">
            <w:pPr>
              <w:rPr>
                <w:b w:val="0"/>
                <w:bCs w:val="0"/>
                <w:lang w:val="en-US"/>
              </w:rPr>
            </w:pPr>
          </w:p>
          <w:p w14:paraId="0A0EA3D3" w14:textId="77777777" w:rsidR="00663EAE" w:rsidRDefault="00663EAE" w:rsidP="00A33868">
            <w:pPr>
              <w:rPr>
                <w:b w:val="0"/>
                <w:bCs w:val="0"/>
                <w:lang w:val="en-US"/>
              </w:rPr>
            </w:pPr>
          </w:p>
          <w:p w14:paraId="39C2A162" w14:textId="221E9389" w:rsidR="00663EAE" w:rsidRPr="00B67ACC" w:rsidRDefault="00663EAE" w:rsidP="00A33868">
            <w:pPr>
              <w:rPr>
                <w:lang w:val="en-US"/>
              </w:rPr>
            </w:pPr>
          </w:p>
        </w:tc>
        <w:tc>
          <w:tcPr>
            <w:tcW w:w="1356" w:type="dxa"/>
          </w:tcPr>
          <w:p w14:paraId="7AB5FA73" w14:textId="77777777" w:rsidR="00B918CD" w:rsidRPr="00B67ACC" w:rsidRDefault="00B918CD"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3256036A" w14:textId="77777777" w:rsidR="00B918CD" w:rsidRPr="00B67ACC" w:rsidRDefault="00B918CD"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918CD" w:rsidRPr="00B67ACC" w14:paraId="02824CCD" w14:textId="7777777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CE2230B" w14:textId="77777777" w:rsidR="00B918CD" w:rsidRDefault="00B918CD" w:rsidP="00A33868">
            <w:pPr>
              <w:rPr>
                <w:b w:val="0"/>
                <w:bCs w:val="0"/>
                <w:lang w:val="en-US"/>
              </w:rPr>
            </w:pPr>
          </w:p>
          <w:p w14:paraId="142587A0" w14:textId="77777777" w:rsidR="00663EAE" w:rsidRDefault="00663EAE" w:rsidP="00A33868">
            <w:pPr>
              <w:rPr>
                <w:b w:val="0"/>
                <w:bCs w:val="0"/>
                <w:lang w:val="en-US"/>
              </w:rPr>
            </w:pPr>
          </w:p>
          <w:p w14:paraId="291B740C" w14:textId="77777777" w:rsidR="00663EAE" w:rsidRDefault="00663EAE" w:rsidP="00A33868">
            <w:pPr>
              <w:rPr>
                <w:b w:val="0"/>
                <w:bCs w:val="0"/>
                <w:lang w:val="en-US"/>
              </w:rPr>
            </w:pPr>
          </w:p>
          <w:p w14:paraId="3376559D" w14:textId="77777777" w:rsidR="00663EAE" w:rsidRDefault="00663EAE" w:rsidP="00A33868">
            <w:pPr>
              <w:rPr>
                <w:b w:val="0"/>
                <w:bCs w:val="0"/>
                <w:lang w:val="en-US"/>
              </w:rPr>
            </w:pPr>
          </w:p>
          <w:p w14:paraId="0C634AA8" w14:textId="77777777" w:rsidR="00663EAE" w:rsidRDefault="00663EAE" w:rsidP="00A33868">
            <w:pPr>
              <w:rPr>
                <w:b w:val="0"/>
                <w:bCs w:val="0"/>
                <w:lang w:val="en-US"/>
              </w:rPr>
            </w:pPr>
          </w:p>
          <w:p w14:paraId="538ED459" w14:textId="77777777" w:rsidR="00663EAE" w:rsidRDefault="00663EAE" w:rsidP="00A33868">
            <w:pPr>
              <w:rPr>
                <w:b w:val="0"/>
                <w:bCs w:val="0"/>
                <w:lang w:val="en-US"/>
              </w:rPr>
            </w:pPr>
          </w:p>
          <w:p w14:paraId="114B030E" w14:textId="77777777" w:rsidR="00663EAE" w:rsidRDefault="00663EAE" w:rsidP="00A33868">
            <w:pPr>
              <w:rPr>
                <w:b w:val="0"/>
                <w:bCs w:val="0"/>
                <w:lang w:val="en-US"/>
              </w:rPr>
            </w:pPr>
          </w:p>
          <w:p w14:paraId="54EF5116" w14:textId="77777777" w:rsidR="00663EAE" w:rsidRDefault="00663EAE" w:rsidP="00A33868">
            <w:pPr>
              <w:rPr>
                <w:b w:val="0"/>
                <w:bCs w:val="0"/>
                <w:lang w:val="en-US"/>
              </w:rPr>
            </w:pPr>
          </w:p>
          <w:p w14:paraId="23D70012" w14:textId="77777777" w:rsidR="00663EAE" w:rsidRDefault="00663EAE" w:rsidP="00A33868">
            <w:pPr>
              <w:rPr>
                <w:b w:val="0"/>
                <w:bCs w:val="0"/>
                <w:lang w:val="en-US"/>
              </w:rPr>
            </w:pPr>
          </w:p>
          <w:p w14:paraId="18AC6CB6" w14:textId="77777777" w:rsidR="00663EAE" w:rsidRDefault="00663EAE" w:rsidP="00A33868">
            <w:pPr>
              <w:rPr>
                <w:b w:val="0"/>
                <w:bCs w:val="0"/>
                <w:lang w:val="en-US"/>
              </w:rPr>
            </w:pPr>
          </w:p>
          <w:p w14:paraId="2A9E6D25" w14:textId="77777777" w:rsidR="00663EAE" w:rsidRDefault="00663EAE" w:rsidP="00A33868">
            <w:pPr>
              <w:rPr>
                <w:b w:val="0"/>
                <w:bCs w:val="0"/>
                <w:lang w:val="en-US"/>
              </w:rPr>
            </w:pPr>
          </w:p>
          <w:p w14:paraId="039ECE99" w14:textId="29D34F85" w:rsidR="00663EAE" w:rsidRPr="00B67ACC" w:rsidRDefault="00663EAE" w:rsidP="00A33868">
            <w:pPr>
              <w:rPr>
                <w:lang w:val="en-US"/>
              </w:rPr>
            </w:pPr>
          </w:p>
        </w:tc>
        <w:tc>
          <w:tcPr>
            <w:tcW w:w="1356" w:type="dxa"/>
          </w:tcPr>
          <w:p w14:paraId="7E686C0A" w14:textId="77777777" w:rsidR="00B918CD" w:rsidRPr="00B67ACC" w:rsidRDefault="00B918CD" w:rsidP="00A33868">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0705BF23" w14:textId="77777777" w:rsidR="00B918CD" w:rsidRPr="00B67ACC" w:rsidRDefault="00B918CD" w:rsidP="00A33868">
            <w:pPr>
              <w:cnfStyle w:val="000000100000" w:firstRow="0" w:lastRow="0" w:firstColumn="0" w:lastColumn="0" w:oddVBand="0" w:evenVBand="0" w:oddHBand="1" w:evenHBand="0" w:firstRowFirstColumn="0" w:firstRowLastColumn="0" w:lastRowFirstColumn="0" w:lastRowLastColumn="0"/>
              <w:rPr>
                <w:lang w:val="en-US"/>
              </w:rPr>
            </w:pPr>
          </w:p>
        </w:tc>
      </w:tr>
      <w:tr w:rsidR="00B918CD" w:rsidRPr="00B67ACC" w14:paraId="5471E852" w14:textId="77777777" w:rsidTr="00A80986">
        <w:tc>
          <w:tcPr>
            <w:cnfStyle w:val="001000000000" w:firstRow="0" w:lastRow="0" w:firstColumn="1" w:lastColumn="0" w:oddVBand="0" w:evenVBand="0" w:oddHBand="0" w:evenHBand="0" w:firstRowFirstColumn="0" w:firstRowLastColumn="0" w:lastRowFirstColumn="0" w:lastRowLastColumn="0"/>
            <w:tcW w:w="8526" w:type="dxa"/>
          </w:tcPr>
          <w:p w14:paraId="10B6D1AD" w14:textId="77777777" w:rsidR="00B918CD" w:rsidRPr="00B67ACC" w:rsidRDefault="00B918CD" w:rsidP="00A33868">
            <w:pPr>
              <w:rPr>
                <w:lang w:val="en-US"/>
              </w:rPr>
            </w:pPr>
          </w:p>
        </w:tc>
        <w:tc>
          <w:tcPr>
            <w:tcW w:w="1356" w:type="dxa"/>
          </w:tcPr>
          <w:p w14:paraId="50968648" w14:textId="77777777" w:rsidR="00B918CD" w:rsidRPr="00B67ACC" w:rsidRDefault="00B918CD" w:rsidP="00A33868">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39AA46FB" w14:textId="77777777" w:rsidR="00B918CD" w:rsidRPr="00B67ACC" w:rsidRDefault="00B918CD" w:rsidP="00A33868">
            <w:pPr>
              <w:cnfStyle w:val="000000000000" w:firstRow="0" w:lastRow="0" w:firstColumn="0" w:lastColumn="0" w:oddVBand="0" w:evenVBand="0" w:oddHBand="0" w:evenHBand="0" w:firstRowFirstColumn="0" w:firstRowLastColumn="0" w:lastRowFirstColumn="0" w:lastRowLastColumn="0"/>
              <w:rPr>
                <w:lang w:val="en-US"/>
              </w:rPr>
            </w:pPr>
          </w:p>
        </w:tc>
      </w:tr>
      <w:tr w:rsidR="00B918CD" w:rsidRPr="00B67ACC" w14:paraId="4F4C5704" w14:textId="7777777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79820665" w14:textId="77777777" w:rsidR="00B918CD" w:rsidRPr="00B67ACC" w:rsidRDefault="00B918CD" w:rsidP="00EA7E5F">
            <w:pPr>
              <w:rPr>
                <w:lang w:val="en-US"/>
              </w:rPr>
            </w:pPr>
          </w:p>
        </w:tc>
        <w:tc>
          <w:tcPr>
            <w:tcW w:w="1356" w:type="dxa"/>
          </w:tcPr>
          <w:p w14:paraId="0C3C3B3E" w14:textId="77777777" w:rsidR="00B918CD" w:rsidRPr="00B67ACC" w:rsidRDefault="00B918CD" w:rsidP="00EA7E5F">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7DB97863" w14:textId="77777777" w:rsidR="00B918CD" w:rsidRPr="00B67ACC" w:rsidRDefault="00B918CD" w:rsidP="00EA7E5F">
            <w:pPr>
              <w:cnfStyle w:val="000000100000" w:firstRow="0" w:lastRow="0" w:firstColumn="0" w:lastColumn="0" w:oddVBand="0" w:evenVBand="0" w:oddHBand="1" w:evenHBand="0" w:firstRowFirstColumn="0" w:firstRowLastColumn="0" w:lastRowFirstColumn="0" w:lastRowLastColumn="0"/>
              <w:rPr>
                <w:lang w:val="en-US"/>
              </w:rPr>
            </w:pPr>
          </w:p>
        </w:tc>
      </w:tr>
      <w:tr w:rsidR="00B918CD" w:rsidRPr="00B67ACC" w14:paraId="07623845" w14:textId="77777777" w:rsidTr="00A80986">
        <w:tc>
          <w:tcPr>
            <w:cnfStyle w:val="001000000000" w:firstRow="0" w:lastRow="0" w:firstColumn="1" w:lastColumn="0" w:oddVBand="0" w:evenVBand="0" w:oddHBand="0" w:evenHBand="0" w:firstRowFirstColumn="0" w:firstRowLastColumn="0" w:lastRowFirstColumn="0" w:lastRowLastColumn="0"/>
            <w:tcW w:w="8526" w:type="dxa"/>
          </w:tcPr>
          <w:p w14:paraId="3EB30168" w14:textId="77777777" w:rsidR="00B918CD" w:rsidRPr="00B67ACC" w:rsidRDefault="00B918CD" w:rsidP="00EA7E5F">
            <w:pPr>
              <w:rPr>
                <w:lang w:val="en-US"/>
              </w:rPr>
            </w:pPr>
          </w:p>
        </w:tc>
        <w:tc>
          <w:tcPr>
            <w:tcW w:w="1356" w:type="dxa"/>
          </w:tcPr>
          <w:p w14:paraId="7449BB29" w14:textId="77777777" w:rsidR="00B918CD" w:rsidRPr="00B67ACC" w:rsidRDefault="00B918CD" w:rsidP="00EA7E5F">
            <w:pPr>
              <w:cnfStyle w:val="000000000000" w:firstRow="0" w:lastRow="0" w:firstColumn="0" w:lastColumn="0" w:oddVBand="0" w:evenVBand="0" w:oddHBand="0" w:evenHBand="0" w:firstRowFirstColumn="0" w:firstRowLastColumn="0" w:lastRowFirstColumn="0" w:lastRowLastColumn="0"/>
              <w:rPr>
                <w:lang w:val="en-US"/>
              </w:rPr>
            </w:pPr>
          </w:p>
        </w:tc>
        <w:tc>
          <w:tcPr>
            <w:tcW w:w="4508" w:type="dxa"/>
          </w:tcPr>
          <w:p w14:paraId="4B9DFF91" w14:textId="77777777" w:rsidR="00B918CD" w:rsidRPr="00B67ACC" w:rsidRDefault="00B918CD" w:rsidP="00EA7E5F">
            <w:pPr>
              <w:cnfStyle w:val="000000000000" w:firstRow="0" w:lastRow="0" w:firstColumn="0" w:lastColumn="0" w:oddVBand="0" w:evenVBand="0" w:oddHBand="0" w:evenHBand="0" w:firstRowFirstColumn="0" w:firstRowLastColumn="0" w:lastRowFirstColumn="0" w:lastRowLastColumn="0"/>
              <w:rPr>
                <w:lang w:val="en-US"/>
              </w:rPr>
            </w:pPr>
          </w:p>
        </w:tc>
      </w:tr>
      <w:tr w:rsidR="00B918CD" w:rsidRPr="00B67ACC" w14:paraId="00A2274F" w14:textId="77777777" w:rsidTr="00A8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6" w:type="dxa"/>
          </w:tcPr>
          <w:p w14:paraId="5E155355" w14:textId="77777777" w:rsidR="00B918CD" w:rsidRPr="00B67ACC" w:rsidRDefault="00B918CD" w:rsidP="00EA7E5F">
            <w:pPr>
              <w:rPr>
                <w:lang w:val="en-US"/>
              </w:rPr>
            </w:pPr>
          </w:p>
        </w:tc>
        <w:tc>
          <w:tcPr>
            <w:tcW w:w="1356" w:type="dxa"/>
          </w:tcPr>
          <w:p w14:paraId="732ABA6B" w14:textId="77777777" w:rsidR="00B918CD" w:rsidRPr="00B67ACC" w:rsidRDefault="00B918CD" w:rsidP="00EA7E5F">
            <w:pPr>
              <w:cnfStyle w:val="000000100000" w:firstRow="0" w:lastRow="0" w:firstColumn="0" w:lastColumn="0" w:oddVBand="0" w:evenVBand="0" w:oddHBand="1" w:evenHBand="0" w:firstRowFirstColumn="0" w:firstRowLastColumn="0" w:lastRowFirstColumn="0" w:lastRowLastColumn="0"/>
              <w:rPr>
                <w:lang w:val="en-US"/>
              </w:rPr>
            </w:pPr>
          </w:p>
        </w:tc>
        <w:tc>
          <w:tcPr>
            <w:tcW w:w="4508" w:type="dxa"/>
          </w:tcPr>
          <w:p w14:paraId="493E9335" w14:textId="77777777" w:rsidR="00B918CD" w:rsidRPr="00B67ACC" w:rsidRDefault="00B918CD" w:rsidP="00EA7E5F">
            <w:pPr>
              <w:cnfStyle w:val="000000100000" w:firstRow="0" w:lastRow="0" w:firstColumn="0" w:lastColumn="0" w:oddVBand="0" w:evenVBand="0" w:oddHBand="1" w:evenHBand="0" w:firstRowFirstColumn="0" w:firstRowLastColumn="0" w:lastRowFirstColumn="0" w:lastRowLastColumn="0"/>
              <w:rPr>
                <w:lang w:val="en-US"/>
              </w:rPr>
            </w:pPr>
          </w:p>
        </w:tc>
      </w:tr>
    </w:tbl>
    <w:p w14:paraId="5B87851E" w14:textId="77777777" w:rsidR="00B716AB" w:rsidRPr="00925125" w:rsidRDefault="00B716AB" w:rsidP="00B67ACC"/>
    <w:sectPr w:rsidR="00B716AB" w:rsidRPr="00925125" w:rsidSect="00A80986">
      <w:headerReference w:type="default" r:id="rId12"/>
      <w:footerReference w:type="default" r:id="rId13"/>
      <w:pgSz w:w="15840" w:h="12240"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F1F4" w14:textId="77777777" w:rsidR="00020CFD" w:rsidRDefault="00020CFD" w:rsidP="001D4103">
      <w:r>
        <w:separator/>
      </w:r>
    </w:p>
  </w:endnote>
  <w:endnote w:type="continuationSeparator" w:id="0">
    <w:p w14:paraId="0A4CA448" w14:textId="77777777" w:rsidR="00020CFD" w:rsidRDefault="00020CFD" w:rsidP="001D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40196"/>
      <w:docPartObj>
        <w:docPartGallery w:val="Page Numbers (Bottom of Page)"/>
        <w:docPartUnique/>
      </w:docPartObj>
    </w:sdtPr>
    <w:sdtEndPr>
      <w:rPr>
        <w:noProof/>
      </w:rPr>
    </w:sdtEndPr>
    <w:sdtContent>
      <w:p w14:paraId="2B812D25" w14:textId="4147D16C" w:rsidR="00663EAE" w:rsidRDefault="00663EAE">
        <w:pPr>
          <w:pStyle w:val="Footer"/>
        </w:pPr>
        <w:r>
          <w:fldChar w:fldCharType="begin"/>
        </w:r>
        <w:r>
          <w:instrText xml:space="preserve"> PAGE   \* MERGEFORMAT </w:instrText>
        </w:r>
        <w:r>
          <w:fldChar w:fldCharType="separate"/>
        </w:r>
        <w:r>
          <w:rPr>
            <w:noProof/>
          </w:rPr>
          <w:t>2</w:t>
        </w:r>
        <w:r>
          <w:rPr>
            <w:noProof/>
          </w:rPr>
          <w:fldChar w:fldCharType="end"/>
        </w:r>
      </w:p>
    </w:sdtContent>
  </w:sdt>
  <w:p w14:paraId="7CF5D70D" w14:textId="77777777" w:rsidR="00663EAE" w:rsidRDefault="0066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4F11" w14:textId="77777777" w:rsidR="00020CFD" w:rsidRDefault="00020CFD" w:rsidP="001D4103">
      <w:r>
        <w:separator/>
      </w:r>
    </w:p>
  </w:footnote>
  <w:footnote w:type="continuationSeparator" w:id="0">
    <w:p w14:paraId="75C9DA4D" w14:textId="77777777" w:rsidR="00020CFD" w:rsidRDefault="00020CFD" w:rsidP="001D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AD1C" w14:textId="440EC4EF" w:rsidR="000E1213" w:rsidRDefault="00A80986">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D47"/>
    <w:multiLevelType w:val="multilevel"/>
    <w:tmpl w:val="2C5E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90D01"/>
    <w:multiLevelType w:val="multilevel"/>
    <w:tmpl w:val="BF3C0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3975E9"/>
    <w:multiLevelType w:val="hybridMultilevel"/>
    <w:tmpl w:val="22D22DF4"/>
    <w:lvl w:ilvl="0" w:tplc="776A7E32">
      <w:start w:val="1"/>
      <w:numFmt w:val="decimal"/>
      <w:lvlText w:val="%1."/>
      <w:lvlJc w:val="left"/>
      <w:pPr>
        <w:ind w:left="360" w:hanging="360"/>
      </w:pPr>
      <w:rPr>
        <w:color w:val="auto"/>
        <w:sz w:val="22"/>
        <w:szCs w:val="20"/>
        <w:u w:val="single"/>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1F1348BF"/>
    <w:multiLevelType w:val="hybridMultilevel"/>
    <w:tmpl w:val="0F56D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F443BE"/>
    <w:multiLevelType w:val="hybridMultilevel"/>
    <w:tmpl w:val="197AD846"/>
    <w:lvl w:ilvl="0" w:tplc="10EEBA64">
      <w:start w:val="1"/>
      <w:numFmt w:val="lowerLetter"/>
      <w:lvlText w:val="%1)"/>
      <w:lvlJc w:val="left"/>
      <w:pPr>
        <w:ind w:left="1080" w:hanging="720"/>
      </w:pPr>
      <w:rPr>
        <w:rFonts w:ascii="Calibri" w:eastAsia="Calibri" w:hAnsi="Calibri" w:cs="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A16560"/>
    <w:multiLevelType w:val="multilevel"/>
    <w:tmpl w:val="B4A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403B6"/>
    <w:multiLevelType w:val="hybridMultilevel"/>
    <w:tmpl w:val="28AA59D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430C6613"/>
    <w:multiLevelType w:val="hybridMultilevel"/>
    <w:tmpl w:val="1D2A3D00"/>
    <w:lvl w:ilvl="0" w:tplc="3FE8F462">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748661E"/>
    <w:multiLevelType w:val="hybridMultilevel"/>
    <w:tmpl w:val="3A4AB11A"/>
    <w:lvl w:ilvl="0" w:tplc="FF02AFA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15:restartNumberingAfterBreak="0">
    <w:nsid w:val="578F3F84"/>
    <w:multiLevelType w:val="multilevel"/>
    <w:tmpl w:val="CC2C7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25"/>
    <w:rsid w:val="00020CFD"/>
    <w:rsid w:val="000E1213"/>
    <w:rsid w:val="001D4103"/>
    <w:rsid w:val="002279FB"/>
    <w:rsid w:val="004A4DC3"/>
    <w:rsid w:val="00502191"/>
    <w:rsid w:val="005A3F6E"/>
    <w:rsid w:val="00663EAE"/>
    <w:rsid w:val="00854A92"/>
    <w:rsid w:val="00925125"/>
    <w:rsid w:val="00961D97"/>
    <w:rsid w:val="00A80986"/>
    <w:rsid w:val="00B02841"/>
    <w:rsid w:val="00B67ACC"/>
    <w:rsid w:val="00B716AB"/>
    <w:rsid w:val="00B918CD"/>
    <w:rsid w:val="00CA3877"/>
    <w:rsid w:val="00CC003E"/>
    <w:rsid w:val="00FA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2CA54"/>
  <w15:chartTrackingRefBased/>
  <w15:docId w15:val="{ED9DB70B-7298-4EED-805E-4B8E6654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25"/>
    <w:pPr>
      <w:spacing w:after="0" w:line="240" w:lineRule="auto"/>
    </w:pPr>
    <w:rPr>
      <w:rFonts w:ascii="Calibri" w:hAnsi="Calibri" w:cs="Calibri"/>
      <w:lang w:val="en-AU" w:eastAsia="en-AU"/>
    </w:rPr>
  </w:style>
  <w:style w:type="paragraph" w:styleId="Heading3">
    <w:name w:val="heading 3"/>
    <w:basedOn w:val="Normal"/>
    <w:next w:val="Normal"/>
    <w:link w:val="Heading3Char"/>
    <w:uiPriority w:val="9"/>
    <w:semiHidden/>
    <w:unhideWhenUsed/>
    <w:qFormat/>
    <w:rsid w:val="00CA3877"/>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125"/>
    <w:pPr>
      <w:ind w:left="720"/>
    </w:pPr>
  </w:style>
  <w:style w:type="table" w:styleId="TableGrid">
    <w:name w:val="Table Grid"/>
    <w:basedOn w:val="TableNormal"/>
    <w:uiPriority w:val="59"/>
    <w:rsid w:val="00B6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103"/>
    <w:pPr>
      <w:tabs>
        <w:tab w:val="center" w:pos="4513"/>
        <w:tab w:val="right" w:pos="9026"/>
      </w:tabs>
    </w:pPr>
  </w:style>
  <w:style w:type="character" w:customStyle="1" w:styleId="HeaderChar">
    <w:name w:val="Header Char"/>
    <w:basedOn w:val="DefaultParagraphFont"/>
    <w:link w:val="Header"/>
    <w:uiPriority w:val="99"/>
    <w:rsid w:val="001D4103"/>
    <w:rPr>
      <w:rFonts w:ascii="Calibri" w:hAnsi="Calibri" w:cs="Calibri"/>
      <w:lang w:val="en-AU" w:eastAsia="en-AU"/>
    </w:rPr>
  </w:style>
  <w:style w:type="paragraph" w:styleId="Footer">
    <w:name w:val="footer"/>
    <w:basedOn w:val="Normal"/>
    <w:link w:val="FooterChar"/>
    <w:uiPriority w:val="99"/>
    <w:unhideWhenUsed/>
    <w:rsid w:val="001D4103"/>
    <w:pPr>
      <w:tabs>
        <w:tab w:val="center" w:pos="4513"/>
        <w:tab w:val="right" w:pos="9026"/>
      </w:tabs>
    </w:pPr>
  </w:style>
  <w:style w:type="character" w:customStyle="1" w:styleId="FooterChar">
    <w:name w:val="Footer Char"/>
    <w:basedOn w:val="DefaultParagraphFont"/>
    <w:link w:val="Footer"/>
    <w:uiPriority w:val="99"/>
    <w:rsid w:val="001D4103"/>
    <w:rPr>
      <w:rFonts w:ascii="Calibri" w:hAnsi="Calibri" w:cs="Calibri"/>
      <w:lang w:val="en-AU" w:eastAsia="en-AU"/>
    </w:rPr>
  </w:style>
  <w:style w:type="character" w:customStyle="1" w:styleId="Heading3Char">
    <w:name w:val="Heading 3 Char"/>
    <w:basedOn w:val="DefaultParagraphFont"/>
    <w:link w:val="Heading3"/>
    <w:uiPriority w:val="9"/>
    <w:semiHidden/>
    <w:rsid w:val="00CA3877"/>
    <w:rPr>
      <w:rFonts w:asciiTheme="majorHAnsi" w:eastAsiaTheme="majorEastAsia" w:hAnsiTheme="majorHAnsi" w:cstheme="majorBidi"/>
      <w:color w:val="243F60" w:themeColor="accent1" w:themeShade="7F"/>
      <w:sz w:val="24"/>
      <w:szCs w:val="24"/>
      <w:lang w:val="en-AU"/>
    </w:rPr>
  </w:style>
  <w:style w:type="paragraph" w:styleId="NormalWeb">
    <w:name w:val="Normal (Web)"/>
    <w:basedOn w:val="Normal"/>
    <w:uiPriority w:val="99"/>
    <w:unhideWhenUsed/>
    <w:rsid w:val="00CA38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877"/>
    <w:rPr>
      <w:color w:val="0000FF"/>
      <w:u w:val="single"/>
    </w:rPr>
  </w:style>
  <w:style w:type="table" w:styleId="GridTable1Light">
    <w:name w:val="Grid Table 1 Light"/>
    <w:basedOn w:val="TableNormal"/>
    <w:uiPriority w:val="46"/>
    <w:rsid w:val="000E12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121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121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121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A3F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2">
    <w:name w:val="Grid Table 5 Dark Accent 2"/>
    <w:basedOn w:val="TableNormal"/>
    <w:uiPriority w:val="50"/>
    <w:rsid w:val="005A3F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3-Accent2">
    <w:name w:val="Grid Table 3 Accent 2"/>
    <w:basedOn w:val="TableNormal"/>
    <w:uiPriority w:val="48"/>
    <w:rsid w:val="005A3F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5">
    <w:name w:val="Grid Table 4 Accent 5"/>
    <w:basedOn w:val="TableNormal"/>
    <w:uiPriority w:val="49"/>
    <w:rsid w:val="005A3F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2">
    <w:name w:val="Grid Table 4 Accent 2"/>
    <w:basedOn w:val="TableNormal"/>
    <w:uiPriority w:val="49"/>
    <w:rsid w:val="00A809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6">
    <w:name w:val="Grid Table 3 Accent 6"/>
    <w:basedOn w:val="TableNormal"/>
    <w:uiPriority w:val="48"/>
    <w:rsid w:val="00A809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PlainTable1">
    <w:name w:val="Plain Table 1"/>
    <w:basedOn w:val="TableNormal"/>
    <w:uiPriority w:val="41"/>
    <w:rsid w:val="00A80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shpartners.com.au/accounting-tax/how-to-minimise-personal-tax-in-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rshpartners.com.au/accounting-tax/minimise-business-tax/" TargetMode="External"/><Relationship Id="rId4" Type="http://schemas.openxmlformats.org/officeDocument/2006/relationships/settings" Target="settings.xml"/><Relationship Id="rId9" Type="http://schemas.openxmlformats.org/officeDocument/2006/relationships/hyperlink" Target="https://marshpartners.com.au/smsfs/tax-and-super-in-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39AC-58F6-4878-BBF4-08FD69C0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Lockwood</dc:creator>
  <cp:keywords/>
  <dc:description/>
  <cp:lastModifiedBy>Sally Darwish</cp:lastModifiedBy>
  <cp:revision>2</cp:revision>
  <cp:lastPrinted>2021-05-18T05:29:00Z</cp:lastPrinted>
  <dcterms:created xsi:type="dcterms:W3CDTF">2021-05-20T01:45:00Z</dcterms:created>
  <dcterms:modified xsi:type="dcterms:W3CDTF">2021-05-20T01:45:00Z</dcterms:modified>
</cp:coreProperties>
</file>